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C14" w:rsidRDefault="000E5C14">
      <w:pPr>
        <w:jc w:val="center"/>
        <w:rPr>
          <w:rFonts w:ascii="Times New Roman" w:eastAsia="Microsoft YaHei" w:hAnsi="Times New Roman" w:cs="Times New Roman"/>
          <w:b/>
          <w:bCs/>
          <w:color w:val="000000" w:themeColor="text1"/>
          <w:sz w:val="28"/>
          <w:szCs w:val="36"/>
        </w:rPr>
      </w:pPr>
    </w:p>
    <w:p w:rsidR="0018326D" w:rsidRDefault="0019043E">
      <w:pPr>
        <w:jc w:val="center"/>
        <w:rPr>
          <w:rFonts w:ascii="Times New Roman" w:eastAsia="Microsoft YaHei" w:hAnsi="Times New Roman" w:cs="Times New Roman"/>
          <w:b/>
          <w:bCs/>
          <w:color w:val="000000" w:themeColor="text1"/>
          <w:sz w:val="28"/>
          <w:szCs w:val="36"/>
        </w:rPr>
      </w:pPr>
      <w:r>
        <w:rPr>
          <w:rFonts w:ascii="Times New Roman" w:eastAsia="Microsoft YaHei" w:hAnsi="Times New Roman" w:cs="Times New Roman"/>
          <w:b/>
          <w:bCs/>
          <w:color w:val="000000" w:themeColor="text1"/>
          <w:sz w:val="28"/>
          <w:szCs w:val="36"/>
        </w:rPr>
        <w:t>Integration of Learning and Politics A Historical Study of Wang Hongnian a Chinese Student in Japan 1896-19</w:t>
      </w:r>
      <w:r>
        <w:rPr>
          <w:rFonts w:ascii="Times New Roman" w:eastAsia="Microsoft YaHei" w:hAnsi="Times New Roman" w:cs="Times New Roman" w:hint="eastAsia"/>
          <w:b/>
          <w:bCs/>
          <w:color w:val="000000" w:themeColor="text1"/>
          <w:sz w:val="28"/>
          <w:szCs w:val="36"/>
        </w:rPr>
        <w:t>22</w:t>
      </w:r>
    </w:p>
    <w:p w:rsidR="0018326D" w:rsidRDefault="0019043E">
      <w:pPr>
        <w:jc w:val="center"/>
        <w:rPr>
          <w:rFonts w:ascii="Times New Roman" w:eastAsia="SimSun" w:hAnsi="Times New Roman"/>
          <w:b/>
          <w:i/>
          <w:sz w:val="20"/>
          <w:szCs w:val="20"/>
        </w:rPr>
      </w:pPr>
      <w:r>
        <w:rPr>
          <w:rFonts w:ascii="Times New Roman" w:eastAsia="SimSun" w:hAnsi="Times New Roman" w:hint="eastAsia"/>
          <w:b/>
          <w:sz w:val="20"/>
          <w:szCs w:val="20"/>
        </w:rPr>
        <w:t>Hui</w:t>
      </w:r>
      <w:r>
        <w:rPr>
          <w:rFonts w:ascii="Times New Roman" w:eastAsia="SimSun" w:hAnsi="Times New Roman"/>
          <w:b/>
          <w:sz w:val="20"/>
          <w:szCs w:val="20"/>
        </w:rPr>
        <w:t xml:space="preserve"> </w:t>
      </w:r>
      <w:r>
        <w:rPr>
          <w:rFonts w:ascii="Times New Roman" w:eastAsia="SimSun" w:hAnsi="Times New Roman"/>
          <w:b/>
          <w:sz w:val="20"/>
          <w:szCs w:val="20"/>
        </w:rPr>
        <w:t>Zh</w:t>
      </w:r>
      <w:r>
        <w:rPr>
          <w:rFonts w:ascii="Times New Roman" w:eastAsia="SimSun" w:hAnsi="Times New Roman" w:hint="eastAsia"/>
          <w:b/>
          <w:sz w:val="20"/>
          <w:szCs w:val="20"/>
        </w:rPr>
        <w:t>e</w:t>
      </w:r>
      <w:r>
        <w:rPr>
          <w:rFonts w:ascii="Times New Roman" w:eastAsia="SimSun" w:hAnsi="Times New Roman"/>
          <w:b/>
          <w:sz w:val="20"/>
          <w:szCs w:val="20"/>
        </w:rPr>
        <w:t>ng</w:t>
      </w:r>
      <w:r>
        <w:rPr>
          <w:rFonts w:ascii="Times New Roman" w:eastAsia="SimSun" w:hAnsi="Times New Roman" w:hint="eastAsia"/>
          <w:b/>
          <w:sz w:val="20"/>
          <w:szCs w:val="20"/>
          <w:vertAlign w:val="superscript"/>
        </w:rPr>
        <w:t>1,</w:t>
      </w:r>
      <w:r>
        <w:rPr>
          <w:rFonts w:ascii="Times New Roman" w:eastAsia="SimSun" w:hAnsi="Times New Roman" w:hint="eastAsia"/>
          <w:b/>
          <w:sz w:val="20"/>
          <w:szCs w:val="20"/>
          <w:vertAlign w:val="superscript"/>
        </w:rPr>
        <w:t>a</w:t>
      </w:r>
      <w:r>
        <w:rPr>
          <w:rFonts w:ascii="Times New Roman" w:eastAsia="SimSun" w:hAnsi="Times New Roman" w:hint="eastAsia"/>
          <w:b/>
          <w:sz w:val="20"/>
          <w:szCs w:val="20"/>
          <w:vertAlign w:val="superscript"/>
        </w:rPr>
        <w:t>*</w:t>
      </w:r>
    </w:p>
    <w:p w:rsidR="0018326D" w:rsidRDefault="0019043E">
      <w:pPr>
        <w:jc w:val="center"/>
        <w:rPr>
          <w:rFonts w:ascii="Times New Roman" w:eastAsia="SimSun" w:hAnsi="Times New Roman"/>
          <w:i/>
          <w:sz w:val="20"/>
          <w:szCs w:val="20"/>
          <w:lang w:val="ru-RU"/>
        </w:rPr>
      </w:pPr>
      <w:r>
        <w:rPr>
          <w:rFonts w:ascii="Times New Roman" w:eastAsia="SimSun" w:hAnsi="Times New Roman" w:hint="eastAsia"/>
          <w:i/>
          <w:sz w:val="20"/>
          <w:szCs w:val="20"/>
          <w:vertAlign w:val="superscript"/>
        </w:rPr>
        <w:t>1</w:t>
      </w:r>
      <w:r>
        <w:rPr>
          <w:rFonts w:ascii="Times New Roman" w:eastAsia="SimSun" w:hAnsi="Times New Roman" w:hint="eastAsia"/>
          <w:i/>
          <w:sz w:val="20"/>
          <w:szCs w:val="20"/>
        </w:rPr>
        <w:t>Institute for Mutual Learning of East-West Civilizations</w:t>
      </w:r>
      <w:r>
        <w:rPr>
          <w:rFonts w:ascii="Times New Roman" w:eastAsia="SimSun" w:hAnsi="Times New Roman"/>
          <w:i/>
          <w:sz w:val="20"/>
          <w:szCs w:val="20"/>
        </w:rPr>
        <w:t>,</w:t>
      </w:r>
      <w:r>
        <w:rPr>
          <w:rFonts w:ascii="Times New Roman" w:eastAsia="SimSun" w:hAnsi="Times New Roman" w:hint="eastAsia"/>
          <w:i/>
          <w:sz w:val="20"/>
          <w:szCs w:val="20"/>
        </w:rPr>
        <w:t>Zhejiang Gongshang University</w:t>
      </w:r>
      <w:r>
        <w:rPr>
          <w:rFonts w:ascii="Times New Roman" w:eastAsia="SimSun" w:hAnsi="Times New Roman"/>
          <w:i/>
          <w:sz w:val="20"/>
          <w:szCs w:val="20"/>
        </w:rPr>
        <w:t xml:space="preserve">, </w:t>
      </w:r>
      <w:r>
        <w:rPr>
          <w:rFonts w:ascii="Times New Roman" w:eastAsia="SimSun" w:hAnsi="Times New Roman" w:hint="eastAsia"/>
          <w:i/>
          <w:sz w:val="20"/>
          <w:szCs w:val="20"/>
        </w:rPr>
        <w:t>Hangzhou</w:t>
      </w:r>
      <w:r>
        <w:rPr>
          <w:rFonts w:ascii="Times New Roman" w:eastAsia="SimSun" w:hAnsi="Times New Roman"/>
          <w:i/>
          <w:sz w:val="20"/>
          <w:szCs w:val="20"/>
        </w:rPr>
        <w:t xml:space="preserve"> </w:t>
      </w:r>
      <w:r>
        <w:rPr>
          <w:rFonts w:ascii="Times New Roman" w:eastAsia="SimSun" w:hAnsi="Times New Roman" w:hint="eastAsia"/>
          <w:i/>
          <w:sz w:val="20"/>
          <w:szCs w:val="20"/>
        </w:rPr>
        <w:t>310018</w:t>
      </w:r>
      <w:r>
        <w:rPr>
          <w:rFonts w:ascii="Times New Roman" w:eastAsia="SimSun" w:hAnsi="Times New Roman"/>
          <w:i/>
          <w:sz w:val="20"/>
          <w:szCs w:val="20"/>
        </w:rPr>
        <w:t xml:space="preserve">, </w:t>
      </w:r>
      <w:r>
        <w:rPr>
          <w:rFonts w:ascii="Times New Roman" w:eastAsia="SimSun" w:hAnsi="Times New Roman" w:hint="eastAsia"/>
          <w:i/>
          <w:sz w:val="20"/>
          <w:szCs w:val="20"/>
        </w:rPr>
        <w:t>Zhejiang</w:t>
      </w:r>
      <w:r>
        <w:rPr>
          <w:rFonts w:ascii="Times New Roman" w:eastAsia="SimSun" w:hAnsi="Times New Roman"/>
          <w:i/>
          <w:sz w:val="20"/>
          <w:szCs w:val="20"/>
        </w:rPr>
        <w:t>, China</w:t>
      </w:r>
    </w:p>
    <w:p w:rsidR="0018326D" w:rsidRDefault="0019043E">
      <w:pPr>
        <w:jc w:val="center"/>
        <w:rPr>
          <w:rFonts w:ascii="Times New Roman" w:eastAsia="SimSun" w:hAnsi="Times New Roman"/>
          <w:i/>
          <w:sz w:val="20"/>
          <w:szCs w:val="20"/>
          <w:lang w:val="ru-RU"/>
        </w:rPr>
      </w:pPr>
      <w:r>
        <w:rPr>
          <w:rFonts w:ascii="Times New Roman" w:eastAsia="SimSun" w:hAnsi="Times New Roman" w:hint="eastAsia"/>
          <w:i/>
          <w:iCs/>
          <w:sz w:val="20"/>
          <w:szCs w:val="20"/>
          <w:vertAlign w:val="superscript"/>
        </w:rPr>
        <w:t>a</w:t>
      </w:r>
      <w:r>
        <w:rPr>
          <w:rFonts w:ascii="Times New Roman" w:eastAsia="SimSun" w:hAnsi="Times New Roman" w:hint="eastAsia"/>
          <w:i/>
          <w:iCs/>
          <w:sz w:val="20"/>
          <w:szCs w:val="20"/>
        </w:rPr>
        <w:t>Email</w:t>
      </w:r>
      <w:r>
        <w:rPr>
          <w:rFonts w:ascii="Times New Roman" w:eastAsia="SimSun" w:hAnsi="Times New Roman"/>
          <w:i/>
          <w:iCs/>
          <w:sz w:val="20"/>
          <w:szCs w:val="20"/>
        </w:rPr>
        <w:t>:</w:t>
      </w:r>
      <w:r>
        <w:rPr>
          <w:rFonts w:ascii="Times New Roman" w:eastAsia="SimSun" w:hAnsi="Times New Roman" w:hint="eastAsia"/>
          <w:i/>
          <w:iCs/>
          <w:sz w:val="20"/>
          <w:szCs w:val="20"/>
        </w:rPr>
        <w:t>22010130006@pop.zjgsu.edu.cn</w:t>
      </w:r>
    </w:p>
    <w:p w:rsidR="0018326D" w:rsidRDefault="0019043E">
      <w:pPr>
        <w:jc w:val="center"/>
        <w:rPr>
          <w:rFonts w:ascii="Times New Roman" w:eastAsia="SimSun" w:hAnsi="Times New Roman"/>
          <w:i/>
          <w:iCs/>
          <w:sz w:val="20"/>
          <w:szCs w:val="20"/>
        </w:rPr>
      </w:pPr>
      <w:r>
        <w:rPr>
          <w:rFonts w:ascii="Times New Roman" w:eastAsia="SimSun" w:hAnsi="Times New Roman"/>
          <w:i/>
          <w:iCs/>
          <w:sz w:val="20"/>
          <w:szCs w:val="20"/>
          <w:vertAlign w:val="superscript"/>
        </w:rPr>
        <w:t>*</w:t>
      </w:r>
      <w:r>
        <w:rPr>
          <w:rFonts w:ascii="Times New Roman" w:eastAsia="SimSun" w:hAnsi="Times New Roman"/>
          <w:i/>
          <w:iCs/>
          <w:sz w:val="20"/>
          <w:szCs w:val="20"/>
        </w:rPr>
        <w:t xml:space="preserve">Corresponding </w:t>
      </w:r>
      <w:r>
        <w:rPr>
          <w:rFonts w:ascii="Times New Roman" w:eastAsia="SimSun" w:hAnsi="Times New Roman" w:hint="eastAsia"/>
          <w:i/>
          <w:iCs/>
          <w:sz w:val="20"/>
          <w:szCs w:val="20"/>
        </w:rPr>
        <w:t>a</w:t>
      </w:r>
      <w:r>
        <w:rPr>
          <w:rFonts w:ascii="Times New Roman" w:eastAsia="SimSun" w:hAnsi="Times New Roman"/>
          <w:i/>
          <w:iCs/>
          <w:sz w:val="20"/>
          <w:szCs w:val="20"/>
        </w:rPr>
        <w:t>uthor</w:t>
      </w:r>
    </w:p>
    <w:p w:rsidR="0018326D" w:rsidRDefault="0018326D">
      <w:pPr>
        <w:jc w:val="center"/>
        <w:rPr>
          <w:rFonts w:ascii="Times New Roman" w:eastAsia="SimSun" w:hAnsi="Times New Roman"/>
          <w:i/>
          <w:iCs/>
          <w:sz w:val="20"/>
          <w:szCs w:val="20"/>
        </w:rPr>
      </w:pPr>
    </w:p>
    <w:p w:rsidR="0018326D" w:rsidRDefault="0019043E">
      <w:pPr>
        <w:rPr>
          <w:rFonts w:ascii="Times New Roman" w:eastAsia="Microsoft YaHei" w:hAnsi="Times New Roman" w:cs="Times New Roman"/>
          <w:color w:val="000000" w:themeColor="text1"/>
        </w:rPr>
      </w:pPr>
      <w:r>
        <w:rPr>
          <w:rFonts w:ascii="Times New Roman" w:eastAsia="Microsoft YaHei" w:hAnsi="Times New Roman" w:cs="Times New Roman"/>
          <w:b/>
          <w:bCs/>
          <w:color w:val="000000" w:themeColor="text1"/>
        </w:rPr>
        <w:t>Abstract:</w:t>
      </w:r>
      <w:r>
        <w:rPr>
          <w:rFonts w:ascii="Times New Roman" w:eastAsia="Microsoft YaHei" w:hAnsi="Times New Roman" w:cs="Times New Roman"/>
          <w:color w:val="000000" w:themeColor="text1"/>
        </w:rPr>
        <w:t xml:space="preserve"> This article frames the life of Wang Hongnian (1874–1945), China’s first state-sponsored law graduate from Tokyo Imperial University, as a case study in the transnational mobilization of legal expertise as diplomatic capital. Drawing on Japanese Foreign M</w:t>
      </w:r>
      <w:r>
        <w:rPr>
          <w:rFonts w:ascii="Times New Roman" w:eastAsia="Microsoft YaHei" w:hAnsi="Times New Roman" w:cs="Times New Roman"/>
          <w:color w:val="000000" w:themeColor="text1"/>
        </w:rPr>
        <w:t>inistry archives, Qing memorials, and Wang’s unpublished writings, we argue that semi-colonial actors like Wang leveraged hybrid legal knowledge—synthesizing Meiji jurisprudence and Confucian statecraft—to mediate asymmetrical Chino-Japanese conflicts. Usi</w:t>
      </w:r>
      <w:r>
        <w:rPr>
          <w:rFonts w:ascii="Times New Roman" w:eastAsia="Microsoft YaHei" w:hAnsi="Times New Roman" w:cs="Times New Roman"/>
          <w:color w:val="000000" w:themeColor="text1"/>
        </w:rPr>
        <w:t>ng Bourgeoisie's theory of capital conversion and Ahab's concept of “third-space intellectuals,” we demonstrate how Wang’s legal training functioned as a form of symbolic power, enabling him to resist Japanese imperial coercion while navigating elite Meiji</w:t>
      </w:r>
      <w:r>
        <w:rPr>
          <w:rFonts w:ascii="Times New Roman" w:eastAsia="Microsoft YaHei" w:hAnsi="Times New Roman" w:cs="Times New Roman"/>
          <w:color w:val="000000" w:themeColor="text1"/>
        </w:rPr>
        <w:t xml:space="preserve"> networks. Our findings challenge binary narratives of collaboration vs. resistance, revealing instead the negotiated ambiguities of semi-colonial agency. This study contributes to debates on the globalization of international law and the role of periphera</w:t>
      </w:r>
      <w:r>
        <w:rPr>
          <w:rFonts w:ascii="Times New Roman" w:eastAsia="Microsoft YaHei" w:hAnsi="Times New Roman" w:cs="Times New Roman"/>
          <w:color w:val="000000" w:themeColor="text1"/>
        </w:rPr>
        <w:t>l actors in shaping imperial modernity.</w:t>
      </w:r>
    </w:p>
    <w:p w:rsidR="0018326D" w:rsidRDefault="0019043E">
      <w:pPr>
        <w:rPr>
          <w:rFonts w:ascii="Times New Roman" w:eastAsia="Microsoft YaHei" w:hAnsi="Times New Roman" w:cs="Times New Roman"/>
          <w:color w:val="000000" w:themeColor="text1"/>
        </w:rPr>
      </w:pPr>
      <w:r>
        <w:rPr>
          <w:rFonts w:ascii="Times New Roman" w:eastAsia="Microsoft YaHei" w:hAnsi="Times New Roman" w:cs="Times New Roman"/>
          <w:b/>
          <w:bCs/>
          <w:color w:val="000000" w:themeColor="text1"/>
        </w:rPr>
        <w:t xml:space="preserve">Keywords: </w:t>
      </w:r>
      <w:r>
        <w:rPr>
          <w:rFonts w:ascii="Times New Roman" w:eastAsia="Microsoft YaHei" w:hAnsi="Times New Roman" w:cs="Times New Roman"/>
          <w:color w:val="000000" w:themeColor="text1"/>
        </w:rPr>
        <w:t>Study-abroad Movement; International Law; Asianism; Meiji Japan; Qing Diplomacy</w:t>
      </w:r>
    </w:p>
    <w:p w:rsidR="0018326D" w:rsidRDefault="0018326D">
      <w:pPr>
        <w:rPr>
          <w:rFonts w:ascii="Times New Roman" w:eastAsia="Microsoft YaHei" w:hAnsi="Times New Roman" w:cs="Times New Roman"/>
          <w:color w:val="000000" w:themeColor="text1"/>
        </w:rPr>
      </w:pPr>
    </w:p>
    <w:p w:rsidR="0018326D" w:rsidRDefault="0019043E">
      <w:pPr>
        <w:numPr>
          <w:ilvl w:val="0"/>
          <w:numId w:val="1"/>
        </w:numPr>
        <w:rPr>
          <w:rFonts w:ascii="Times New Roman" w:hAnsi="Times New Roman" w:cs="Times New Roman"/>
          <w:b/>
          <w:bCs/>
          <w:color w:val="000000" w:themeColor="text1"/>
        </w:rPr>
      </w:pPr>
      <w:r>
        <w:rPr>
          <w:rFonts w:ascii="Times New Roman" w:hAnsi="Times New Roman" w:cs="Times New Roman"/>
          <w:b/>
          <w:bCs/>
          <w:color w:val="000000" w:themeColor="text1"/>
        </w:rPr>
        <w:t>Introduction</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The historiography of Chinese students in Meiji Japan has long oscillated between two interpretive poles: one framing them as passive recipients of imperial knowledge </w:t>
      </w:r>
      <w:r>
        <w:rPr>
          <w:rFonts w:ascii="Times New Roman" w:eastAsia="Microsoft YaHei" w:hAnsi="Times New Roman" w:cs="Times New Roman" w:hint="eastAsia"/>
          <w:color w:val="000000" w:themeColor="text1"/>
        </w:rPr>
        <w:t>[1]</w:t>
      </w:r>
      <w:r>
        <w:rPr>
          <w:rFonts w:ascii="Times New Roman" w:eastAsia="Microsoft YaHei" w:hAnsi="Times New Roman" w:cs="Times New Roman"/>
          <w:color w:val="000000" w:themeColor="text1"/>
        </w:rPr>
        <w:t xml:space="preserve">, the other as unmediated agents of anti-colonial nationalism </w:t>
      </w:r>
      <w:r>
        <w:rPr>
          <w:rFonts w:ascii="Times New Roman" w:eastAsia="Microsoft YaHei" w:hAnsi="Times New Roman" w:cs="Times New Roman" w:hint="eastAsia"/>
          <w:color w:val="000000" w:themeColor="text1"/>
        </w:rPr>
        <w:t>[2]</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This dichotomy over</w:t>
      </w:r>
      <w:r>
        <w:rPr>
          <w:rFonts w:ascii="Times New Roman" w:eastAsia="Microsoft YaHei" w:hAnsi="Times New Roman" w:cs="Times New Roman" w:hint="eastAsia"/>
          <w:color w:val="000000" w:themeColor="text1"/>
        </w:rPr>
        <w:t>shadows the intricate function of intellectual intermediaries who employed their specialized knowledge to maneuver within transnational power dynamics</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a void especially prominent in research on legal specialists.</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Recent scholarship has explored the evolvin</w:t>
      </w:r>
      <w:r>
        <w:rPr>
          <w:rFonts w:ascii="Times New Roman" w:eastAsia="Microsoft YaHei" w:hAnsi="Times New Roman" w:cs="Times New Roman" w:hint="eastAsia"/>
          <w:color w:val="000000" w:themeColor="text1"/>
        </w:rPr>
        <w:t>g role of international law within the context of globalization, highlighting its significance in fostering international economic cooperation, addressing legal challenges in cross-border transactions, and adapting to the rise of emerging market countries</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[3-4]</w:t>
      </w:r>
      <w:r>
        <w:rPr>
          <w:rFonts w:ascii="Times New Roman" w:eastAsia="Microsoft YaHei" w:hAnsi="Times New Roman" w:cs="Times New Roman"/>
          <w:color w:val="000000" w:themeColor="text1"/>
        </w:rPr>
        <w:t xml:space="preserve"> and transnational intellectual networks </w:t>
      </w:r>
      <w:r>
        <w:rPr>
          <w:rFonts w:ascii="Times New Roman" w:eastAsia="Microsoft YaHei" w:hAnsi="Times New Roman" w:cs="Times New Roman" w:hint="eastAsia"/>
          <w:color w:val="000000" w:themeColor="text1"/>
        </w:rPr>
        <w:t>[5-6]</w:t>
      </w:r>
      <w:r>
        <w:rPr>
          <w:rFonts w:ascii="Times New Roman" w:eastAsia="Microsoft YaHei" w:hAnsi="Times New Roman" w:cs="Times New Roman"/>
          <w:color w:val="000000" w:themeColor="text1"/>
        </w:rPr>
        <w:t xml:space="preserve"> provides critical frameworks to move beyond such reductionism. </w:t>
      </w:r>
      <w:r>
        <w:rPr>
          <w:rFonts w:ascii="Times New Roman" w:eastAsia="Microsoft YaHei" w:hAnsi="Times New Roman" w:cs="Times New Roman" w:hint="eastAsia"/>
          <w:color w:val="000000" w:themeColor="text1"/>
        </w:rPr>
        <w:t>However, there are scant studies exploring how technical legal knowledge served as diplomatic capital in Sino-Japanese relations, particularl</w:t>
      </w:r>
      <w:r>
        <w:rPr>
          <w:rFonts w:ascii="Times New Roman" w:eastAsia="Microsoft YaHei" w:hAnsi="Times New Roman" w:cs="Times New Roman" w:hint="eastAsia"/>
          <w:color w:val="000000" w:themeColor="text1"/>
        </w:rPr>
        <w:t xml:space="preserve">y during the pivotal transition period from the collapse of the Qing Dynasty to the establishment of the Republican era (1912-1922) [7]. </w:t>
      </w:r>
      <w:r>
        <w:rPr>
          <w:rFonts w:ascii="Times New Roman" w:hAnsi="Times New Roman" w:cs="Times New Roman"/>
        </w:rPr>
        <w:t>Modern photograph of Wang Hongnian</w:t>
      </w:r>
      <w:r>
        <w:rPr>
          <w:rFonts w:ascii="Times New Roman" w:hAnsi="Times New Roman" w:cs="Times New Roman" w:hint="eastAsia"/>
        </w:rPr>
        <w:t xml:space="preserve"> shown in Figure 1.</w:t>
      </w:r>
    </w:p>
    <w:p w:rsidR="0018326D" w:rsidRDefault="0019043E">
      <w:pPr>
        <w:ind w:firstLineChars="200" w:firstLine="420"/>
      </w:pPr>
      <w:r>
        <w:rPr>
          <w:noProof/>
          <w:lang w:eastAsia="en-US"/>
        </w:rPr>
        <w:lastRenderedPageBreak/>
        <w:drawing>
          <wp:inline distT="0" distB="0" distL="114300" distR="114300">
            <wp:extent cx="4711700" cy="22860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4711700" cy="2286000"/>
                    </a:xfrm>
                    <a:prstGeom prst="rect">
                      <a:avLst/>
                    </a:prstGeom>
                    <a:noFill/>
                    <a:ln>
                      <a:noFill/>
                    </a:ln>
                  </pic:spPr>
                </pic:pic>
              </a:graphicData>
            </a:graphic>
          </wp:inline>
        </w:drawing>
      </w:r>
    </w:p>
    <w:p w:rsidR="0018326D" w:rsidRDefault="0019043E">
      <w:pPr>
        <w:jc w:val="center"/>
        <w:rPr>
          <w:rFonts w:ascii="Times New Roman" w:hAnsi="Times New Roman" w:cs="Times New Roman"/>
        </w:rPr>
      </w:pPr>
      <w:r>
        <w:rPr>
          <w:rFonts w:ascii="Times New Roman" w:hAnsi="Times New Roman" w:cs="Times New Roman"/>
        </w:rPr>
        <w:t>Figure 1. Modern photograph of Wang Hongnian</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This article bridges these lacunae through the lens of “knowledge-diplomacy nexus”—a conceptual framework synthesizing Bourgeoisie's theory of cultural capital conversion with Dudden’s critique of imperial legalism. </w:t>
      </w:r>
      <w:r>
        <w:rPr>
          <w:rFonts w:ascii="Times New Roman" w:eastAsia="Microsoft YaHei" w:hAnsi="Times New Roman" w:cs="Times New Roman" w:hint="eastAsia"/>
          <w:color w:val="000000" w:themeColor="text1"/>
        </w:rPr>
        <w:t>We analyze the career of Wang Hongnian (</w:t>
      </w:r>
      <w:r>
        <w:rPr>
          <w:rFonts w:ascii="Times New Roman" w:eastAsia="Microsoft YaHei" w:hAnsi="Times New Roman" w:cs="Times New Roman" w:hint="eastAsia"/>
          <w:color w:val="000000" w:themeColor="text1"/>
        </w:rPr>
        <w:t>1874-1945), the first state-sponsored law graduate from Wenzhou at Tokyo Imperial University, whose trajectory exemplifies three understudied dynamics:</w:t>
      </w:r>
    </w:p>
    <w:p w:rsidR="0018326D" w:rsidRDefault="0019043E">
      <w:pPr>
        <w:numPr>
          <w:ilvl w:val="0"/>
          <w:numId w:val="2"/>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The co-production of expertise: How Japanese legal education, especially at elite institutions like Toky</w:t>
      </w:r>
      <w:r>
        <w:rPr>
          <w:rFonts w:ascii="Times New Roman" w:eastAsia="Microsoft YaHei" w:hAnsi="Times New Roman" w:cs="Times New Roman" w:hint="eastAsia"/>
          <w:color w:val="000000" w:themeColor="text1"/>
        </w:rPr>
        <w:t>o Imperial University, facilitated the creation of jurisprudential frameworks that integrated Western legal principles with East Asian governance traditions, as seen in the development of 'translingual practice'.</w:t>
      </w:r>
    </w:p>
    <w:p w:rsidR="0018326D" w:rsidRDefault="0019043E">
      <w:pPr>
        <w:numPr>
          <w:ilvl w:val="0"/>
          <w:numId w:val="2"/>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Asianism as contested terrain: How Meiji-er</w:t>
      </w:r>
      <w:r>
        <w:rPr>
          <w:rFonts w:ascii="Times New Roman" w:eastAsia="Microsoft YaHei" w:hAnsi="Times New Roman" w:cs="Times New Roman"/>
          <w:color w:val="000000" w:themeColor="text1"/>
        </w:rPr>
        <w:t>a pan-Asian solidarity rhetoric (Konoe’s Tōa Dōbun Kai) served both as a networking mechanism for Chinese students and an ideological veil for Japanese expansionism.</w:t>
      </w:r>
    </w:p>
    <w:p w:rsidR="0018326D" w:rsidRDefault="0019043E">
      <w:pPr>
        <w:numPr>
          <w:ilvl w:val="0"/>
          <w:numId w:val="2"/>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Diplomatic brokerage: How technical legal knowledge became convertible into diplomatic inf</w:t>
      </w:r>
      <w:r>
        <w:rPr>
          <w:rFonts w:ascii="Times New Roman" w:eastAsia="Microsoft YaHei" w:hAnsi="Times New Roman" w:cs="Times New Roman"/>
          <w:color w:val="000000" w:themeColor="text1"/>
        </w:rPr>
        <w:t>luence during asymmetric conflicts, challenging Westphalian narratives of interstate relations.</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Drawing on newly triangulated archives—Japanese Foreign Ministry records (JACAR), Qing examination registers, and Wang’s publications—this study makes three con</w:t>
      </w:r>
      <w:r>
        <w:rPr>
          <w:rFonts w:ascii="Times New Roman" w:eastAsia="Microsoft YaHei" w:hAnsi="Times New Roman" w:cs="Times New Roman"/>
          <w:color w:val="000000" w:themeColor="text1"/>
        </w:rPr>
        <w:t>tributions:</w:t>
      </w:r>
    </w:p>
    <w:p w:rsidR="0018326D" w:rsidRDefault="0019043E">
      <w:pPr>
        <w:numPr>
          <w:ilvl w:val="0"/>
          <w:numId w:val="3"/>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Empirically, it corrects chronological errors in Wang’s biography (departure confirmed as 1899, not 1898) and decodes his mediation of five Sino-Japanese crises (1916-1922). </w:t>
      </w:r>
    </w:p>
    <w:p w:rsidR="0018326D" w:rsidRDefault="0019043E">
      <w:pPr>
        <w:numPr>
          <w:ilvl w:val="0"/>
          <w:numId w:val="3"/>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Theoretically, it demonstrates how “peripheral” actors manipulated im</w:t>
      </w:r>
      <w:r>
        <w:rPr>
          <w:rFonts w:ascii="Times New Roman" w:eastAsia="Microsoft YaHei" w:hAnsi="Times New Roman" w:cs="Times New Roman"/>
          <w:color w:val="000000" w:themeColor="text1"/>
        </w:rPr>
        <w:t>perial knowledge systems to resist diplomatic coercion, complicating colonial dichotomy theories.</w:t>
      </w:r>
    </w:p>
    <w:p w:rsidR="0018326D" w:rsidRDefault="0019043E">
      <w:pPr>
        <w:numPr>
          <w:ilvl w:val="0"/>
          <w:numId w:val="3"/>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Methodologically, it models microhistorical analysis of “third-space intellectuals” (Bhabha, 1994) to reveal the granular mechanics of transnational legal acc</w:t>
      </w:r>
      <w:r>
        <w:rPr>
          <w:rFonts w:ascii="Times New Roman" w:eastAsia="Microsoft YaHei" w:hAnsi="Times New Roman" w:cs="Times New Roman"/>
          <w:color w:val="000000" w:themeColor="text1"/>
        </w:rPr>
        <w:t>ulturation.</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By examining Wang's journey through the educational, bureaucratic, and diplomatic realms, we assert that his legal acumen, honed at Tokyo Imperial University and leveraged via elite networks such as Shibusawa Eiichi's Ry</w:t>
      </w:r>
      <w:r>
        <w:rPr>
          <w:rFonts w:ascii="Times New Roman" w:eastAsia="Microsoft YaHei" w:hAnsi="Times New Roman" w:cs="Times New Roman" w:hint="eastAsia"/>
          <w:color w:val="000000" w:themeColor="text1"/>
        </w:rPr>
        <w:t>ū</w:t>
      </w:r>
      <w:r>
        <w:rPr>
          <w:rFonts w:ascii="Times New Roman" w:eastAsia="Microsoft YaHei" w:hAnsi="Times New Roman" w:cs="Times New Roman" w:hint="eastAsia"/>
          <w:color w:val="000000" w:themeColor="text1"/>
        </w:rPr>
        <w:t>monsha, served as a ver</w:t>
      </w:r>
      <w:r>
        <w:rPr>
          <w:rFonts w:ascii="Times New Roman" w:eastAsia="Microsoft YaHei" w:hAnsi="Times New Roman" w:cs="Times New Roman" w:hint="eastAsia"/>
          <w:color w:val="000000" w:themeColor="text1"/>
        </w:rPr>
        <w:t>satile asset that bolstered pragmatic defense of sovereignty.</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This reframes scholarly understanding of how semi-colonial actors navigated the complexities of Meiji modernity, balancing the transfer of emancipatory knowledge with the challenges of imperiali</w:t>
      </w:r>
      <w:r>
        <w:rPr>
          <w:rFonts w:ascii="Times New Roman" w:eastAsia="Microsoft YaHei" w:hAnsi="Times New Roman" w:cs="Times New Roman" w:hint="eastAsia"/>
          <w:color w:val="000000" w:themeColor="text1"/>
        </w:rPr>
        <w:t>sm.</w:t>
      </w:r>
      <w:r>
        <w:rPr>
          <w:rFonts w:ascii="Times New Roman" w:eastAsia="Microsoft YaHei" w:hAnsi="Times New Roman" w:cs="Times New Roman"/>
          <w:color w:val="000000" w:themeColor="text1"/>
        </w:rPr>
        <w:t>entalization.</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The article's theoretical framework, which is pivotal for guiding the research and interpreting its findings, is illustrated in Figure 2.</w:t>
      </w:r>
    </w:p>
    <w:p w:rsidR="0018326D" w:rsidRDefault="0019043E">
      <w:pPr>
        <w:jc w:val="center"/>
        <w:rPr>
          <w:color w:val="000000" w:themeColor="text1"/>
        </w:rPr>
      </w:pPr>
      <w:r>
        <w:rPr>
          <w:noProof/>
          <w:color w:val="000000" w:themeColor="text1"/>
          <w:lang w:eastAsia="en-US"/>
        </w:rPr>
        <w:lastRenderedPageBreak/>
        <w:drawing>
          <wp:inline distT="0" distB="0" distL="114300" distR="114300">
            <wp:extent cx="5271770" cy="2940050"/>
            <wp:effectExtent l="0" t="0" r="11430" b="635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10"/>
                    <a:stretch>
                      <a:fillRect/>
                    </a:stretch>
                  </pic:blipFill>
                  <pic:spPr>
                    <a:xfrm>
                      <a:off x="0" y="0"/>
                      <a:ext cx="5271770" cy="2940050"/>
                    </a:xfrm>
                    <a:prstGeom prst="rect">
                      <a:avLst/>
                    </a:prstGeom>
                    <a:noFill/>
                    <a:ln>
                      <a:noFill/>
                    </a:ln>
                  </pic:spPr>
                </pic:pic>
              </a:graphicData>
            </a:graphic>
          </wp:inline>
        </w:drawing>
      </w:r>
    </w:p>
    <w:p w:rsidR="0018326D" w:rsidRDefault="0019043E">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Figure </w:t>
      </w:r>
      <w:r>
        <w:rPr>
          <w:rFonts w:ascii="Times New Roman" w:hAnsi="Times New Roman" w:cs="Times New Roman" w:hint="eastAsia"/>
          <w:color w:val="000000" w:themeColor="text1"/>
        </w:rPr>
        <w:t>2</w:t>
      </w:r>
      <w:r>
        <w:rPr>
          <w:rFonts w:ascii="Times New Roman" w:hAnsi="Times New Roman" w:cs="Times New Roman"/>
          <w:color w:val="000000" w:themeColor="text1"/>
        </w:rPr>
        <w:t>. Theoretical framework diagram of the article</w:t>
      </w:r>
    </w:p>
    <w:p w:rsidR="0018326D" w:rsidRDefault="0019043E">
      <w:pPr>
        <w:numPr>
          <w:ilvl w:val="0"/>
          <w:numId w:val="1"/>
        </w:numPr>
        <w:rPr>
          <w:rFonts w:ascii="Times New Roman" w:hAnsi="Times New Roman" w:cs="Times New Roman"/>
          <w:b/>
          <w:bCs/>
          <w:color w:val="000000" w:themeColor="text1"/>
        </w:rPr>
      </w:pPr>
      <w:r>
        <w:rPr>
          <w:rFonts w:ascii="Times New Roman" w:hAnsi="Times New Roman" w:cs="Times New Roman"/>
          <w:b/>
          <w:bCs/>
          <w:color w:val="000000" w:themeColor="text1"/>
        </w:rPr>
        <w:t>Literature Review</w:t>
      </w:r>
    </w:p>
    <w:p w:rsidR="0018326D" w:rsidRDefault="0019043E">
      <w:pPr>
        <w:rPr>
          <w:rFonts w:ascii="Times New Roman" w:hAnsi="Times New Roman" w:cs="Times New Roman"/>
          <w:i/>
          <w:iCs/>
          <w:color w:val="000000" w:themeColor="text1"/>
        </w:rPr>
      </w:pPr>
      <w:r>
        <w:rPr>
          <w:rFonts w:ascii="Times New Roman" w:hAnsi="Times New Roman" w:cs="Times New Roman"/>
          <w:i/>
          <w:iCs/>
          <w:color w:val="000000" w:themeColor="text1"/>
        </w:rPr>
        <w:t xml:space="preserve">2.1 Chinese Students in </w:t>
      </w:r>
      <w:r>
        <w:rPr>
          <w:rFonts w:ascii="Times New Roman" w:hAnsi="Times New Roman" w:cs="Times New Roman"/>
          <w:i/>
          <w:iCs/>
          <w:color w:val="000000" w:themeColor="text1"/>
        </w:rPr>
        <w:t>Meiji Japan: From "Cultural Borrowing" to "Nationalist Resistance"</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Early scholarship on late-Qing students in Japan, epitomized by Saneto</w:t>
      </w:r>
      <w:r>
        <w:rPr>
          <w:rFonts w:ascii="Times New Roman" w:eastAsia="Microsoft YaHei" w:hAnsi="Times New Roman" w:cs="Times New Roman" w:hint="eastAsia"/>
          <w:color w:val="000000" w:themeColor="text1"/>
        </w:rPr>
        <w:t>,</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portrayed them as passive conduits through which Meiji modernization was transmitted to China [8-9]</w:t>
      </w:r>
      <w:r>
        <w:rPr>
          <w:rFonts w:ascii="Times New Roman" w:eastAsia="Microsoft YaHei" w:hAnsi="Times New Roman" w:cs="Times New Roman"/>
          <w:color w:val="000000" w:themeColor="text1"/>
        </w:rPr>
        <w:t>. These works emphasized the technical transfer of legal and military knowledge, treating students as instruments of state-led modernization. Sang Bing reinforced this narrative by highlighting how Zhang Zhidong and other reformers instrumentalized Japan a</w:t>
      </w:r>
      <w:r>
        <w:rPr>
          <w:rFonts w:ascii="Times New Roman" w:eastAsia="Microsoft YaHei" w:hAnsi="Times New Roman" w:cs="Times New Roman"/>
          <w:color w:val="000000" w:themeColor="text1"/>
        </w:rPr>
        <w:t xml:space="preserve">s a "bridge between East and West," </w:t>
      </w:r>
      <w:r>
        <w:rPr>
          <w:rFonts w:ascii="Times New Roman" w:eastAsia="Microsoft YaHei" w:hAnsi="Times New Roman" w:cs="Times New Roman" w:hint="eastAsia"/>
          <w:color w:val="000000" w:themeColor="text1"/>
        </w:rPr>
        <w:t>regarding students merely as interchangeable components</w:t>
      </w:r>
      <w:r>
        <w:rPr>
          <w:rFonts w:ascii="Times New Roman" w:eastAsia="Microsoft YaHei" w:hAnsi="Times New Roman" w:cs="Times New Roman"/>
          <w:color w:val="000000" w:themeColor="text1"/>
        </w:rPr>
        <w:t xml:space="preserve"> in a nationalist engineering project</w:t>
      </w:r>
      <w:r>
        <w:rPr>
          <w:rFonts w:ascii="Times New Roman" w:eastAsia="Microsoft YaHei" w:hAnsi="Times New Roman" w:cs="Times New Roman" w:hint="eastAsia"/>
          <w:color w:val="000000" w:themeColor="text1"/>
        </w:rPr>
        <w:t xml:space="preserve"> [10-12]</w:t>
      </w:r>
      <w:r>
        <w:rPr>
          <w:rFonts w:ascii="Times New Roman" w:eastAsia="Microsoft YaHei" w:hAnsi="Times New Roman" w:cs="Times New Roman"/>
          <w:color w:val="000000" w:themeColor="text1"/>
        </w:rPr>
        <w:t>.</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From the 1980s onward, a counter-narrative of "nationalist resistance" emerged, led by Wang Ping (1966) and Huang Fuqi</w:t>
      </w:r>
      <w:r>
        <w:rPr>
          <w:rFonts w:ascii="Times New Roman" w:eastAsia="Microsoft YaHei" w:hAnsi="Times New Roman" w:cs="Times New Roman"/>
          <w:color w:val="000000" w:themeColor="text1"/>
        </w:rPr>
        <w:t>ng (2005)</w:t>
      </w:r>
      <w:r>
        <w:rPr>
          <w:rFonts w:ascii="Times New Roman" w:eastAsia="Microsoft YaHei" w:hAnsi="Times New Roman" w:cs="Times New Roman" w:hint="eastAsia"/>
          <w:color w:val="000000" w:themeColor="text1"/>
        </w:rPr>
        <w:t xml:space="preserve"> [13-15]</w:t>
      </w:r>
      <w:r>
        <w:rPr>
          <w:rFonts w:ascii="Times New Roman" w:eastAsia="Microsoft YaHei" w:hAnsi="Times New Roman" w:cs="Times New Roman"/>
          <w:color w:val="000000" w:themeColor="text1"/>
        </w:rPr>
        <w:t>. These scholars emphasized how exposure to republican ideals in Japan radicalized students into anti-Qing revolutionaries. Huang’s analysis of Tokyo-based journals like The People’s Journal argued that students "used Japan as a base to ex</w:t>
      </w:r>
      <w:r>
        <w:rPr>
          <w:rFonts w:ascii="Times New Roman" w:eastAsia="Microsoft YaHei" w:hAnsi="Times New Roman" w:cs="Times New Roman"/>
          <w:color w:val="000000" w:themeColor="text1"/>
        </w:rPr>
        <w:t>port nationalism back to China"</w:t>
      </w:r>
      <w:r>
        <w:rPr>
          <w:rFonts w:ascii="Times New Roman" w:eastAsia="Microsoft YaHei" w:hAnsi="Times New Roman" w:cs="Times New Roman" w:hint="eastAsia"/>
          <w:color w:val="000000" w:themeColor="text1"/>
        </w:rPr>
        <w:t xml:space="preserve"> [16,17].</w:t>
      </w:r>
      <w:r>
        <w:rPr>
          <w:rFonts w:ascii="Times New Roman" w:eastAsia="Microsoft YaHei" w:hAnsi="Times New Roman" w:cs="Times New Roman"/>
          <w:color w:val="000000" w:themeColor="text1"/>
        </w:rPr>
        <w:t xml:space="preserve"> Yet such studies equated studying in Japan with awakening anti-colonial consciousness, overlooking how specialists in law or engineering practiced non-confrontational strategies within imperial structures.</w:t>
      </w:r>
    </w:p>
    <w:p w:rsidR="0018326D" w:rsidRDefault="0019043E">
      <w:pPr>
        <w:rPr>
          <w:rFonts w:ascii="Times New Roman" w:hAnsi="Times New Roman" w:cs="Times New Roman"/>
          <w:i/>
          <w:iCs/>
          <w:color w:val="000000" w:themeColor="text1"/>
        </w:rPr>
      </w:pPr>
      <w:r>
        <w:rPr>
          <w:rFonts w:ascii="Times New Roman" w:hAnsi="Times New Roman" w:cs="Times New Roman"/>
          <w:i/>
          <w:iCs/>
          <w:color w:val="000000" w:themeColor="text1"/>
        </w:rPr>
        <w:t>2.2 Inter</w:t>
      </w:r>
      <w:r>
        <w:rPr>
          <w:rFonts w:ascii="Times New Roman" w:hAnsi="Times New Roman" w:cs="Times New Roman"/>
          <w:i/>
          <w:iCs/>
          <w:color w:val="000000" w:themeColor="text1"/>
        </w:rPr>
        <w:t>national Law in East Asia: From "Imperial Tool" to "Weapon of the Weak"</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Western scholarship on modern East Asian international law has long been dominated by the "imperial legalism" paradigm</w:t>
      </w:r>
      <w:r>
        <w:rPr>
          <w:rFonts w:ascii="Times New Roman" w:eastAsia="Microsoft YaHei" w:hAnsi="Times New Roman" w:cs="Times New Roman" w:hint="eastAsia"/>
          <w:color w:val="000000" w:themeColor="text1"/>
        </w:rPr>
        <w:t xml:space="preserve"> [18]</w:t>
      </w:r>
      <w:r>
        <w:rPr>
          <w:rFonts w:ascii="Times New Roman" w:eastAsia="Microsoft YaHei" w:hAnsi="Times New Roman" w:cs="Times New Roman"/>
          <w:color w:val="000000" w:themeColor="text1"/>
        </w:rPr>
        <w:t>. Dudden demonstrated how 19th-century Japan weaponized inter</w:t>
      </w:r>
      <w:r>
        <w:rPr>
          <w:rFonts w:ascii="Times New Roman" w:eastAsia="Microsoft YaHei" w:hAnsi="Times New Roman" w:cs="Times New Roman"/>
          <w:color w:val="000000" w:themeColor="text1"/>
        </w:rPr>
        <w:t>national law for expansion through "treaty revision," forcing China to accept the "civilized nation" discourse</w:t>
      </w:r>
      <w:r>
        <w:rPr>
          <w:rFonts w:ascii="Times New Roman" w:eastAsia="Microsoft YaHei" w:hAnsi="Times New Roman" w:cs="Times New Roman" w:hint="eastAsia"/>
          <w:color w:val="000000" w:themeColor="text1"/>
        </w:rPr>
        <w:t xml:space="preserve"> [19]</w:t>
      </w:r>
      <w:r>
        <w:rPr>
          <w:rFonts w:ascii="Times New Roman" w:eastAsia="Microsoft YaHei" w:hAnsi="Times New Roman" w:cs="Times New Roman"/>
          <w:color w:val="000000" w:themeColor="text1"/>
        </w:rPr>
        <w:t xml:space="preserve">. Liu introduced "translingual practice" to analyze Yan Fu and Liang Qichao’s translations of international law, but still assumed a </w:t>
      </w:r>
      <w:r>
        <w:rPr>
          <w:rFonts w:ascii="Times New Roman" w:eastAsia="Microsoft YaHei" w:hAnsi="Times New Roman" w:cs="Times New Roman"/>
          <w:color w:val="000000" w:themeColor="text1"/>
        </w:rPr>
        <w:t>unidirectional "West-to-East" flow</w:t>
      </w:r>
      <w:r>
        <w:rPr>
          <w:rFonts w:ascii="Times New Roman" w:eastAsia="Microsoft YaHei" w:hAnsi="Times New Roman" w:cs="Times New Roman" w:hint="eastAsia"/>
          <w:color w:val="000000" w:themeColor="text1"/>
        </w:rPr>
        <w:t xml:space="preserve"> [20]</w:t>
      </w:r>
      <w:r>
        <w:rPr>
          <w:rFonts w:ascii="Times New Roman" w:eastAsia="Microsoft YaHei" w:hAnsi="Times New Roman" w:cs="Times New Roman"/>
          <w:color w:val="000000" w:themeColor="text1"/>
        </w:rPr>
        <w:t>.</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Recent works have begun exploring the "reverse utilization" of international law in colonial settings</w:t>
      </w:r>
      <w:r>
        <w:rPr>
          <w:rFonts w:ascii="Times New Roman" w:eastAsia="Microsoft YaHei" w:hAnsi="Times New Roman" w:cs="Times New Roman" w:hint="eastAsia"/>
          <w:color w:val="000000" w:themeColor="text1"/>
        </w:rPr>
        <w:t xml:space="preserve"> [20]</w:t>
      </w:r>
      <w:r>
        <w:rPr>
          <w:rFonts w:ascii="Times New Roman" w:eastAsia="Microsoft YaHei" w:hAnsi="Times New Roman" w:cs="Times New Roman"/>
          <w:color w:val="000000" w:themeColor="text1"/>
        </w:rPr>
        <w:t>. Benton , studying India, proposed "law as a weapon of the weak," yet did not extend this to East Asia</w:t>
      </w:r>
      <w:r>
        <w:rPr>
          <w:rFonts w:ascii="Times New Roman" w:eastAsia="Microsoft YaHei" w:hAnsi="Times New Roman" w:cs="Times New Roman" w:hint="eastAsia"/>
          <w:color w:val="000000" w:themeColor="text1"/>
        </w:rPr>
        <w:t xml:space="preserve"> [21]</w:t>
      </w:r>
      <w:r>
        <w:rPr>
          <w:rFonts w:ascii="Times New Roman" w:eastAsia="Microsoft YaHei" w:hAnsi="Times New Roman" w:cs="Times New Roman"/>
          <w:color w:val="000000" w:themeColor="text1"/>
        </w:rPr>
        <w:t>.</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Chinese scholars, such as Qiu Zhihong, have examined jurists like Wang Chonghui, concentrating mainly on 'national legal construction' while overlooking how individual diplomats utilized international law for resistance at a micro level [22-23]</w:t>
      </w:r>
      <w:r>
        <w:rPr>
          <w:rFonts w:ascii="Times New Roman" w:eastAsia="Microsoft YaHei" w:hAnsi="Times New Roman" w:cs="Times New Roman"/>
          <w:color w:val="000000" w:themeColor="text1"/>
        </w:rPr>
        <w:t>.</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lastRenderedPageBreak/>
        <w:t>Recent sc</w:t>
      </w:r>
      <w:r>
        <w:rPr>
          <w:rFonts w:ascii="Times New Roman" w:eastAsia="Microsoft YaHei" w:hAnsi="Times New Roman" w:cs="Times New Roman"/>
          <w:color w:val="000000" w:themeColor="text1"/>
        </w:rPr>
        <w:t>holarship has reframed extraterritoriality and legal modernity in East Asia. Pär Cassel’s Grounds of Judgment</w:t>
      </w:r>
      <w:r>
        <w:rPr>
          <w:rFonts w:ascii="Times New Roman" w:eastAsia="Microsoft YaHei" w:hAnsi="Times New Roman" w:cs="Times New Roman" w:hint="eastAsia"/>
          <w:color w:val="000000" w:themeColor="text1"/>
        </w:rPr>
        <w:t xml:space="preserve"> </w:t>
      </w:r>
      <w:r>
        <w:rPr>
          <w:rFonts w:ascii="Times New Roman" w:eastAsia="Microsoft YaHei" w:hAnsi="Times New Roman" w:cs="Times New Roman"/>
          <w:color w:val="000000" w:themeColor="text1"/>
        </w:rPr>
        <w:t>demonstrates how Qing and Tokugawa courts actively negotiated rather than passively received the mixed-court system, foregrounding local agency wi</w:t>
      </w:r>
      <w:r>
        <w:rPr>
          <w:rFonts w:ascii="Times New Roman" w:eastAsia="Microsoft YaHei" w:hAnsi="Times New Roman" w:cs="Times New Roman"/>
          <w:color w:val="000000" w:themeColor="text1"/>
        </w:rPr>
        <w:t>thin unequal treaties. Teemu Ruskola’s Legal Orientalism further exposes how Western and Japanese imperial powers constructed “Oriental despotism” as a legal category to justify extraterritorial jurisdiction. Both studies, however, privilege macro-institut</w:t>
      </w:r>
      <w:r>
        <w:rPr>
          <w:rFonts w:ascii="Times New Roman" w:eastAsia="Microsoft YaHei" w:hAnsi="Times New Roman" w:cs="Times New Roman"/>
          <w:color w:val="000000" w:themeColor="text1"/>
        </w:rPr>
        <w:t xml:space="preserve">ional analysis and the production of discursive categories. </w:t>
      </w:r>
      <w:r>
        <w:rPr>
          <w:rFonts w:ascii="Times New Roman" w:eastAsia="Microsoft YaHei" w:hAnsi="Times New Roman" w:cs="Times New Roman" w:hint="eastAsia"/>
          <w:color w:val="000000" w:themeColor="text1"/>
        </w:rPr>
        <w:t>This article focuses on Wang Hongnian, a bilingual micro-actor who navigates between Tokyo lecture halls and Beijing legation files, thereby shifting the perspective from institutional structure t</w:t>
      </w:r>
      <w:r>
        <w:rPr>
          <w:rFonts w:ascii="Times New Roman" w:eastAsia="Microsoft YaHei" w:hAnsi="Times New Roman" w:cs="Times New Roman" w:hint="eastAsia"/>
          <w:color w:val="000000" w:themeColor="text1"/>
        </w:rPr>
        <w:t>o the dynamic process of capital conversion.</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how a jurist, under the influence of semi-colonialism, repurposed imperial legal texts</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those artifacts critiqued by Ruskola for their Orientalist nature</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into strategic tools for the defense of sovereignty.</w:t>
      </w:r>
      <w:r>
        <w:rPr>
          <w:rFonts w:ascii="Times New Roman" w:eastAsia="Microsoft YaHei" w:hAnsi="Times New Roman" w:cs="Times New Roman"/>
          <w:color w:val="000000" w:themeColor="text1"/>
        </w:rPr>
        <w:t xml:space="preserve"> In so</w:t>
      </w:r>
      <w:r>
        <w:rPr>
          <w:rFonts w:ascii="Times New Roman" w:eastAsia="Microsoft YaHei" w:hAnsi="Times New Roman" w:cs="Times New Roman"/>
          <w:color w:val="000000" w:themeColor="text1"/>
        </w:rPr>
        <w:t xml:space="preserve"> doing, we extend Cassel’s “local agency” argument beyond the courtroom and into the diplomatic back-channel, while grounding Ruskola’s discursive critique in the granular mechanics of semi-colonial legal practice.</w:t>
      </w:r>
    </w:p>
    <w:p w:rsidR="0018326D" w:rsidRDefault="0019043E">
      <w:pPr>
        <w:rPr>
          <w:rFonts w:ascii="Times New Roman" w:hAnsi="Times New Roman" w:cs="Times New Roman"/>
          <w:i/>
          <w:iCs/>
          <w:color w:val="000000" w:themeColor="text1"/>
        </w:rPr>
      </w:pPr>
      <w:r>
        <w:rPr>
          <w:rFonts w:ascii="Times New Roman" w:hAnsi="Times New Roman" w:cs="Times New Roman"/>
          <w:i/>
          <w:iCs/>
          <w:color w:val="000000" w:themeColor="text1"/>
        </w:rPr>
        <w:t xml:space="preserve">2.3 Transnational Intellectual Networks: </w:t>
      </w:r>
      <w:r>
        <w:rPr>
          <w:rFonts w:ascii="Times New Roman" w:hAnsi="Times New Roman" w:cs="Times New Roman"/>
          <w:i/>
          <w:iCs/>
          <w:color w:val="000000" w:themeColor="text1"/>
        </w:rPr>
        <w:t>Bridging Bourdieu and Postcolonial Theory</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Bourdieu's theory of capital conversion provides novel analytical tools for examining overseas students [24].</w:t>
      </w:r>
      <w:r>
        <w:rPr>
          <w:rFonts w:ascii="Times New Roman" w:eastAsia="Microsoft YaHei" w:hAnsi="Times New Roman" w:cs="Times New Roman"/>
          <w:color w:val="000000" w:themeColor="text1"/>
        </w:rPr>
        <w:t xml:space="preserve"> Shin first applied "cultural capital" to Korean students in Japan, showing how their "Japanese degrees"</w:t>
      </w:r>
      <w:r>
        <w:rPr>
          <w:rFonts w:ascii="Times New Roman" w:eastAsia="Microsoft YaHei" w:hAnsi="Times New Roman" w:cs="Times New Roman"/>
          <w:color w:val="000000" w:themeColor="text1"/>
        </w:rPr>
        <w:t xml:space="preserve"> granted access to colonial bureaucracies</w:t>
      </w:r>
      <w:r>
        <w:rPr>
          <w:rFonts w:ascii="Times New Roman" w:eastAsia="Microsoft YaHei" w:hAnsi="Times New Roman" w:cs="Times New Roman" w:hint="eastAsia"/>
          <w:color w:val="000000" w:themeColor="text1"/>
        </w:rPr>
        <w:t xml:space="preserve"> [25]</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Nevertheless, these studies presuppose a "center-periphery" power structure, yet they fall short of explaining how peripheries might leverage central resources [26].</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Postcolonial theory provides crucial suppl</w:t>
      </w:r>
      <w:r>
        <w:rPr>
          <w:rFonts w:ascii="Times New Roman" w:eastAsia="Microsoft YaHei" w:hAnsi="Times New Roman" w:cs="Times New Roman"/>
          <w:color w:val="000000" w:themeColor="text1"/>
        </w:rPr>
        <w:t>ements. Bhabha’s "third space" reveals how colonial intellectuals carved out spaces of resistance through "mimicry and difference" within imperial discourses</w:t>
      </w:r>
      <w:r>
        <w:rPr>
          <w:rFonts w:ascii="Times New Roman" w:eastAsia="Microsoft YaHei" w:hAnsi="Times New Roman" w:cs="Times New Roman" w:hint="eastAsia"/>
          <w:color w:val="000000" w:themeColor="text1"/>
        </w:rPr>
        <w:t xml:space="preserve"> [27]</w:t>
      </w:r>
      <w:r>
        <w:rPr>
          <w:rFonts w:ascii="Times New Roman" w:eastAsia="Microsoft YaHei" w:hAnsi="Times New Roman" w:cs="Times New Roman"/>
          <w:color w:val="000000" w:themeColor="text1"/>
        </w:rPr>
        <w:t>. Stoler further argued that colonial elites’ "ambivalent collaboration" functioned as a survi</w:t>
      </w:r>
      <w:r>
        <w:rPr>
          <w:rFonts w:ascii="Times New Roman" w:eastAsia="Microsoft YaHei" w:hAnsi="Times New Roman" w:cs="Times New Roman"/>
          <w:color w:val="000000" w:themeColor="text1"/>
        </w:rPr>
        <w:t>val strategy</w:t>
      </w:r>
      <w:r>
        <w:rPr>
          <w:rFonts w:ascii="Times New Roman" w:eastAsia="Microsoft YaHei" w:hAnsi="Times New Roman" w:cs="Times New Roman" w:hint="eastAsia"/>
          <w:color w:val="000000" w:themeColor="text1"/>
        </w:rPr>
        <w:t xml:space="preserve"> [28]</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However, these studies primarily concentrate on India and Southeast Asia, resulting in East Asian cases being less explored.</w:t>
      </w:r>
    </w:p>
    <w:p w:rsidR="0018326D" w:rsidRDefault="0019043E">
      <w:pPr>
        <w:rPr>
          <w:rFonts w:ascii="Times New Roman" w:hAnsi="Times New Roman" w:cs="Times New Roman"/>
          <w:i/>
          <w:iCs/>
          <w:color w:val="000000" w:themeColor="text1"/>
        </w:rPr>
      </w:pPr>
      <w:r>
        <w:rPr>
          <w:rFonts w:ascii="Times New Roman" w:hAnsi="Times New Roman" w:cs="Times New Roman"/>
          <w:i/>
          <w:iCs/>
          <w:color w:val="000000" w:themeColor="text1"/>
        </w:rPr>
        <w:t>2.4 Research Gaps: The "Atypical Path" of Legal Professionals</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Three critical gaps emerge:</w:t>
      </w:r>
    </w:p>
    <w:p w:rsidR="0018326D" w:rsidRDefault="0019043E">
      <w:pPr>
        <w:numPr>
          <w:ilvl w:val="0"/>
          <w:numId w:val="4"/>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Techno-nationalism amo</w:t>
      </w:r>
      <w:r>
        <w:rPr>
          <w:rFonts w:ascii="Times New Roman" w:eastAsia="Microsoft YaHei" w:hAnsi="Times New Roman" w:cs="Times New Roman" w:hint="eastAsia"/>
          <w:color w:val="000000" w:themeColor="text1"/>
        </w:rPr>
        <w:t>ng law students: How did they transform Japanese law, neither merely adopting nor rejecting it, but using it as a means to assert sovereignty claims?</w:t>
      </w:r>
    </w:p>
    <w:p w:rsidR="0018326D" w:rsidRDefault="0019043E">
      <w:pPr>
        <w:numPr>
          <w:ilvl w:val="0"/>
          <w:numId w:val="4"/>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 xml:space="preserve">Semi-colonial dynamics in international law: Given incomplete sovereignty, how did diplomats employ legal </w:t>
      </w:r>
      <w:r>
        <w:rPr>
          <w:rFonts w:ascii="Times New Roman" w:eastAsia="Microsoft YaHei" w:hAnsi="Times New Roman" w:cs="Times New Roman" w:hint="eastAsia"/>
          <w:color w:val="000000" w:themeColor="text1"/>
        </w:rPr>
        <w:t>discourse to broaden negotiation opportunities?</w:t>
      </w:r>
    </w:p>
    <w:p w:rsidR="0018326D" w:rsidRDefault="0019043E">
      <w:pPr>
        <w:numPr>
          <w:ilvl w:val="0"/>
          <w:numId w:val="4"/>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Micro-mechanisms of agency: How can Bourdieu’s "capital" and Bhabha’s "third space" be synthesized to explain historical actors’ strategies?</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Wang Hongnian’s case offers an ideal lens. </w:t>
      </w:r>
      <w:r>
        <w:rPr>
          <w:rFonts w:ascii="Times New Roman" w:eastAsia="Microsoft YaHei" w:hAnsi="Times New Roman" w:cs="Times New Roman" w:hint="eastAsia"/>
          <w:color w:val="000000" w:themeColor="text1"/>
        </w:rPr>
        <w:t xml:space="preserve">His legal training at </w:t>
      </w:r>
      <w:r>
        <w:rPr>
          <w:rFonts w:ascii="Times New Roman" w:eastAsia="Microsoft YaHei" w:hAnsi="Times New Roman" w:cs="Times New Roman" w:hint="eastAsia"/>
          <w:color w:val="000000" w:themeColor="text1"/>
        </w:rPr>
        <w:t>Tokyo Imperial University, his networks within the East Asia Common Culture Society, and his involvement in five crisis mediations offer a unique perspective into semi-colonial 'legal diplomacy'.</w:t>
      </w:r>
    </w:p>
    <w:p w:rsidR="0018326D" w:rsidRDefault="0019043E">
      <w:pPr>
        <w:rPr>
          <w:rFonts w:ascii="Times New Roman" w:eastAsia="Microsoft YaHei" w:hAnsi="Times New Roman" w:cs="Times New Roman"/>
          <w:color w:val="000000" w:themeColor="text1"/>
        </w:rPr>
      </w:pPr>
      <w:r>
        <w:rPr>
          <w:rFonts w:ascii="Times New Roman" w:hAnsi="Times New Roman" w:cs="Times New Roman" w:hint="eastAsia"/>
          <w:i/>
          <w:iCs/>
          <w:color w:val="000000" w:themeColor="text1"/>
        </w:rPr>
        <w:t xml:space="preserve">2.5 </w:t>
      </w:r>
      <w:r>
        <w:rPr>
          <w:rFonts w:ascii="Times New Roman" w:hAnsi="Times New Roman" w:cs="Times New Roman"/>
          <w:i/>
          <w:iCs/>
          <w:color w:val="000000" w:themeColor="text1"/>
        </w:rPr>
        <w:t>Archival Note: Completeness &amp; Provenance</w:t>
      </w:r>
      <w:r>
        <w:rPr>
          <w:rFonts w:ascii="Segoe UI" w:eastAsia="Segoe UI" w:hAnsi="Segoe UI" w:cs="Segoe UI"/>
          <w:color w:val="000000" w:themeColor="text1"/>
          <w:sz w:val="16"/>
          <w:szCs w:val="16"/>
          <w:shd w:val="clear" w:color="auto" w:fill="FFFFFF"/>
        </w:rPr>
        <w:br/>
      </w:r>
      <w:r>
        <w:rPr>
          <w:rFonts w:ascii="Times New Roman" w:eastAsia="Microsoft YaHei" w:hAnsi="Times New Roman" w:cs="Times New Roman"/>
          <w:color w:val="000000" w:themeColor="text1"/>
        </w:rPr>
        <w:t xml:space="preserve">To address </w:t>
      </w:r>
      <w:r>
        <w:rPr>
          <w:rFonts w:ascii="Times New Roman" w:eastAsia="Microsoft YaHei" w:hAnsi="Times New Roman" w:cs="Times New Roman"/>
          <w:color w:val="000000" w:themeColor="text1"/>
        </w:rPr>
        <w:t>reviewer queries regarding source coverage, we specify the following:</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a) JACAR Sampling: </w:t>
      </w:r>
      <w:r>
        <w:rPr>
          <w:rFonts w:ascii="Times New Roman" w:eastAsia="Microsoft YaHei" w:hAnsi="Times New Roman" w:cs="Times New Roman" w:hint="eastAsia"/>
          <w:color w:val="000000" w:themeColor="text1"/>
        </w:rPr>
        <w:t>We examined 4.7 linear metres (approximately 9,300 folios) of the 'Miscellaneous Records on Chinese Students in Japan (Army and Foreign Affairs Department),' JACAR Ref</w:t>
      </w:r>
      <w:r>
        <w:rPr>
          <w:rFonts w:ascii="Times New Roman" w:eastAsia="Microsoft YaHei" w:hAnsi="Times New Roman" w:cs="Times New Roman" w:hint="eastAsia"/>
          <w:color w:val="000000" w:themeColor="text1"/>
        </w:rPr>
        <w:t>. A04010124600</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A04010124612, spanning from 1899 to 1922</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 xml:space="preserve">representing the </w:t>
      </w:r>
      <w:r>
        <w:rPr>
          <w:rFonts w:ascii="Times New Roman" w:eastAsia="Microsoft YaHei" w:hAnsi="Times New Roman" w:cs="Times New Roman" w:hint="eastAsia"/>
          <w:color w:val="000000" w:themeColor="text1"/>
        </w:rPr>
        <w:lastRenderedPageBreak/>
        <w:t>entire existing series for Qing/Republican state-funded law students.</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b) Classification History: </w:t>
      </w:r>
      <w:r>
        <w:rPr>
          <w:rFonts w:ascii="Times New Roman" w:eastAsia="Microsoft YaHei" w:hAnsi="Times New Roman" w:cs="Times New Roman" w:hint="eastAsia"/>
          <w:color w:val="000000" w:themeColor="text1"/>
        </w:rPr>
        <w:t xml:space="preserve">Two groups were originally marked as Gaimu Gokuhi. The Shandong Railway briefs (JACAR </w:t>
      </w:r>
      <w:r>
        <w:rPr>
          <w:rFonts w:ascii="Times New Roman" w:eastAsia="Microsoft YaHei" w:hAnsi="Times New Roman" w:cs="Times New Roman" w:hint="eastAsia"/>
          <w:color w:val="000000" w:themeColor="text1"/>
        </w:rPr>
        <w:t>B16080854600) became accessible in 1972, while the Zhengjiatun military attach</w:t>
      </w:r>
      <w:r>
        <w:rPr>
          <w:rFonts w:ascii="Times New Roman" w:eastAsia="Microsoft YaHei" w:hAnsi="Times New Roman" w:cs="Times New Roman" w:hint="eastAsia"/>
          <w:color w:val="000000" w:themeColor="text1"/>
        </w:rPr>
        <w:t>é</w:t>
      </w:r>
      <w:r>
        <w:rPr>
          <w:rFonts w:ascii="Times New Roman" w:eastAsia="Microsoft YaHei" w:hAnsi="Times New Roman" w:cs="Times New Roman" w:hint="eastAsia"/>
          <w:color w:val="000000" w:themeColor="text1"/>
        </w:rPr>
        <w:t xml:space="preserve"> reports (B16080854700) were declassified in 1989.</w:t>
      </w:r>
      <w:r>
        <w:rPr>
          <w:rFonts w:ascii="Times New Roman" w:eastAsia="Microsoft YaHei" w:hAnsi="Times New Roman" w:cs="Times New Roman"/>
          <w:color w:val="000000" w:themeColor="text1"/>
        </w:rPr>
        <w:t xml:space="preserve"> De-classification stamps are visible on the original files.</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c) British FO371: A targeted search of FO371/1754–1759 (Zhengjiatu</w:t>
      </w:r>
      <w:r>
        <w:rPr>
          <w:rFonts w:ascii="Times New Roman" w:eastAsia="Microsoft YaHei" w:hAnsi="Times New Roman" w:cs="Times New Roman"/>
          <w:color w:val="000000" w:themeColor="text1"/>
        </w:rPr>
        <w:t>n) and FO371/8023–8031 (Washington Conference) at The National Archives, Kew, yielded only incidental mentions. Lacking the granular memoranda found in Japanese and Qing archives, these files are cited only for corroboration and excluded from primary analy</w:t>
      </w:r>
      <w:r>
        <w:rPr>
          <w:rFonts w:ascii="Times New Roman" w:eastAsia="Microsoft YaHei" w:hAnsi="Times New Roman" w:cs="Times New Roman"/>
          <w:color w:val="000000" w:themeColor="text1"/>
        </w:rPr>
        <w:t>sis.</w:t>
      </w:r>
    </w:p>
    <w:p w:rsidR="0018326D" w:rsidRDefault="0019043E">
      <w:pPr>
        <w:numPr>
          <w:ilvl w:val="0"/>
          <w:numId w:val="1"/>
        </w:numPr>
        <w:rPr>
          <w:rFonts w:ascii="Times New Roman" w:hAnsi="Times New Roman" w:cs="Times New Roman"/>
          <w:b/>
          <w:bCs/>
          <w:color w:val="000000" w:themeColor="text1"/>
        </w:rPr>
      </w:pPr>
      <w:r>
        <w:rPr>
          <w:rFonts w:ascii="Times New Roman" w:hAnsi="Times New Roman" w:cs="Times New Roman"/>
          <w:b/>
          <w:bCs/>
          <w:color w:val="000000" w:themeColor="text1"/>
        </w:rPr>
        <w:t>Theoretical Framework</w:t>
      </w:r>
    </w:p>
    <w:p w:rsidR="0018326D" w:rsidRDefault="0019043E">
      <w:p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This article advances a knowledge–diplomacy nexus as its core analytical framework, integrating Pierre Bourdieu’s theory of capital conversion with Homi Bhabha’s concept of the “third space” to explain how Wang Hongnian </w:t>
      </w:r>
      <w:r>
        <w:rPr>
          <w:rFonts w:ascii="Times New Roman" w:hAnsi="Times New Roman" w:cs="Times New Roman"/>
          <w:color w:val="000000" w:themeColor="text1"/>
        </w:rPr>
        <w:t>transformed legal expertise into diplomatic leverage under semi-colonial conditions</w:t>
      </w:r>
      <w:r>
        <w:rPr>
          <w:rFonts w:ascii="Times New Roman" w:hAnsi="Times New Roman" w:cs="Times New Roman" w:hint="eastAsia"/>
          <w:color w:val="000000" w:themeColor="text1"/>
        </w:rPr>
        <w:t xml:space="preserve"> [29]</w:t>
      </w:r>
      <w:r>
        <w:rPr>
          <w:rFonts w:ascii="Times New Roman" w:hAnsi="Times New Roman" w:cs="Times New Roman"/>
          <w:color w:val="000000" w:themeColor="text1"/>
        </w:rPr>
        <w:t>. The framework operates across three interlocking dimensions: forms of capital, field structure, and agent strategy</w:t>
      </w:r>
      <w:r>
        <w:rPr>
          <w:rFonts w:ascii="Times New Roman" w:hAnsi="Times New Roman" w:cs="Times New Roman" w:hint="eastAsia"/>
          <w:color w:val="000000" w:themeColor="text1"/>
        </w:rPr>
        <w:t xml:space="preserve"> [30]</w:t>
      </w:r>
      <w:r>
        <w:rPr>
          <w:rFonts w:ascii="Times New Roman" w:hAnsi="Times New Roman" w:cs="Times New Roman"/>
          <w:color w:val="000000" w:themeColor="text1"/>
        </w:rPr>
        <w:t>.</w:t>
      </w:r>
    </w:p>
    <w:p w:rsidR="0018326D" w:rsidRDefault="0019043E">
      <w:pPr>
        <w:numPr>
          <w:ilvl w:val="0"/>
          <w:numId w:val="5"/>
        </w:num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Forms of Capital: The Convertibility of Legal</w:t>
      </w:r>
      <w:r>
        <w:rPr>
          <w:rFonts w:ascii="Times New Roman" w:hAnsi="Times New Roman" w:cs="Times New Roman"/>
          <w:color w:val="000000" w:themeColor="text1"/>
        </w:rPr>
        <w:t xml:space="preserve"> Expertise</w:t>
      </w:r>
    </w:p>
    <w:p w:rsidR="0018326D" w:rsidRDefault="0019043E">
      <w:p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Bourdieu distinguishes four types of capital: economic, cultural, social, and symbolic. In the context of legal diplomacy, Wang’s legal capital is operationalized as:</w:t>
      </w:r>
    </w:p>
    <w:p w:rsidR="0018326D" w:rsidRDefault="0019043E">
      <w:pPr>
        <w:numPr>
          <w:ilvl w:val="0"/>
          <w:numId w:val="6"/>
        </w:num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Academic capital: A law degree from Tokyo Imperial University and training in </w:t>
      </w:r>
      <w:r>
        <w:rPr>
          <w:rFonts w:ascii="Times New Roman" w:hAnsi="Times New Roman" w:cs="Times New Roman"/>
          <w:color w:val="000000" w:themeColor="text1"/>
        </w:rPr>
        <w:t>the German–Japanese civil-law synthesis;</w:t>
      </w:r>
    </w:p>
    <w:p w:rsidR="0018326D" w:rsidRDefault="0019043E">
      <w:pPr>
        <w:numPr>
          <w:ilvl w:val="0"/>
          <w:numId w:val="6"/>
        </w:num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Institutional capital: The Qing title of “juren in law and politics” and his post-1912 position as Counselor at the Chinese Embassy in Tokyo;</w:t>
      </w:r>
    </w:p>
    <w:p w:rsidR="0018326D" w:rsidRDefault="0019043E">
      <w:pPr>
        <w:numPr>
          <w:ilvl w:val="0"/>
          <w:numId w:val="6"/>
        </w:num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Symbolic capital: Japanese decorations such as the Order of the Rising Su</w:t>
      </w:r>
      <w:r>
        <w:rPr>
          <w:rFonts w:ascii="Times New Roman" w:hAnsi="Times New Roman" w:cs="Times New Roman"/>
          <w:color w:val="000000" w:themeColor="text1"/>
        </w:rPr>
        <w:t>n (4th class, 1913) and the Order of the Sacred Treasure (2nd class, 1921), which conferred upon him the status of a “trustworthy intermediary”.</w:t>
      </w:r>
    </w:p>
    <w:p w:rsidR="0018326D" w:rsidRDefault="0019043E">
      <w:p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These capitals are not static assets; rather, they are converted through crisis mediation—e.g., the Zhengjiatun</w:t>
      </w:r>
      <w:r>
        <w:rPr>
          <w:rFonts w:ascii="Times New Roman" w:hAnsi="Times New Roman" w:cs="Times New Roman"/>
          <w:color w:val="000000" w:themeColor="text1"/>
        </w:rPr>
        <w:t xml:space="preserve"> Incident—moving from academic authority to political legitimacy and, ultimately, to bargaining chips in treaty negotiations</w:t>
      </w:r>
      <w:r>
        <w:rPr>
          <w:rFonts w:ascii="Times New Roman" w:hAnsi="Times New Roman" w:cs="Times New Roman" w:hint="eastAsia"/>
          <w:color w:val="000000" w:themeColor="text1"/>
        </w:rPr>
        <w:t xml:space="preserve"> [31-33]</w:t>
      </w:r>
      <w:r>
        <w:rPr>
          <w:rFonts w:ascii="Times New Roman" w:hAnsi="Times New Roman" w:cs="Times New Roman"/>
          <w:color w:val="000000" w:themeColor="text1"/>
        </w:rPr>
        <w:t>.</w:t>
      </w:r>
    </w:p>
    <w:p w:rsidR="0018326D" w:rsidRDefault="0019043E">
      <w:pPr>
        <w:rPr>
          <w:rFonts w:ascii="Times New Roman" w:hAnsi="Times New Roman" w:cs="Times New Roman"/>
          <w:color w:val="000000" w:themeColor="text1"/>
        </w:rPr>
      </w:pPr>
      <w:r>
        <w:rPr>
          <w:rFonts w:ascii="Times New Roman" w:hAnsi="Times New Roman" w:cs="Times New Roman"/>
          <w:color w:val="000000" w:themeColor="text1"/>
        </w:rPr>
        <w:t>2. Field Structure: The Dual Power Matrix of Semi-Colonialism</w:t>
      </w:r>
    </w:p>
    <w:p w:rsidR="0018326D" w:rsidRDefault="0019043E">
      <w:p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The diplomatic field of semi-colonial China was shaped by a </w:t>
      </w:r>
      <w:r>
        <w:rPr>
          <w:rFonts w:ascii="Times New Roman" w:hAnsi="Times New Roman" w:cs="Times New Roman"/>
          <w:color w:val="000000" w:themeColor="text1"/>
        </w:rPr>
        <w:t>dual matrix of power:</w:t>
      </w:r>
    </w:p>
    <w:p w:rsidR="0018326D" w:rsidRDefault="0019043E">
      <w:pPr>
        <w:numPr>
          <w:ilvl w:val="0"/>
          <w:numId w:val="7"/>
        </w:num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Vertical axis: the asymmetrical structure imposed by Imperial Japan through treaties and gunboat diplomacy;</w:t>
      </w:r>
    </w:p>
    <w:p w:rsidR="0018326D" w:rsidRDefault="0019043E">
      <w:pPr>
        <w:numPr>
          <w:ilvl w:val="0"/>
          <w:numId w:val="7"/>
        </w:num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Horizontal axis: a multilateral arena comprising Qing/Republican authorities, foreign legations, and international public opin</w:t>
      </w:r>
      <w:r>
        <w:rPr>
          <w:rFonts w:ascii="Times New Roman" w:hAnsi="Times New Roman" w:cs="Times New Roman"/>
          <w:color w:val="000000" w:themeColor="text1"/>
        </w:rPr>
        <w:t>ion.</w:t>
      </w:r>
    </w:p>
    <w:p w:rsidR="0018326D" w:rsidRDefault="0019043E">
      <w:p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Wang’s “third space” lies in the interstices of this matrix. Neither a collaborator (as in Manchukuo) nor a pure nationalist, he navigated as a legal-technical expert, deploying Japanese-conferred symbolic capital to counteract Japanese demands.</w:t>
      </w:r>
    </w:p>
    <w:p w:rsidR="0018326D" w:rsidRDefault="0019043E">
      <w:p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3. Ag</w:t>
      </w:r>
      <w:r>
        <w:rPr>
          <w:rFonts w:ascii="Times New Roman" w:hAnsi="Times New Roman" w:cs="Times New Roman"/>
          <w:color w:val="000000" w:themeColor="text1"/>
        </w:rPr>
        <w:t>ent Strategy: Mimicry, Translation, and Counter-Discourse</w:t>
      </w:r>
    </w:p>
    <w:p w:rsidR="0018326D" w:rsidRDefault="0019043E">
      <w:pPr>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Homi K. Bhabha's postcolonial theory posits that colonial mimicry is never an exact replica, but rather a process of 'almost the same, but not quite', embodying a profound ambivalence. Wang's strate</w:t>
      </w:r>
      <w:r>
        <w:rPr>
          <w:rFonts w:ascii="Times New Roman" w:hAnsi="Times New Roman" w:cs="Times New Roman" w:hint="eastAsia"/>
          <w:color w:val="000000" w:themeColor="text1"/>
        </w:rPr>
        <w:t>gies serve as a prime example of this nuanced tension, as they reflect the complex interplay between colonial influence and indigenous resistance.</w:t>
      </w:r>
    </w:p>
    <w:p w:rsidR="0018326D" w:rsidRDefault="0019043E">
      <w:pPr>
        <w:numPr>
          <w:ilvl w:val="0"/>
          <w:numId w:val="8"/>
        </w:num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Mimicry: </w:t>
      </w:r>
      <w:r>
        <w:rPr>
          <w:rFonts w:ascii="Times New Roman" w:hAnsi="Times New Roman" w:cs="Times New Roman" w:hint="eastAsia"/>
          <w:color w:val="000000" w:themeColor="text1"/>
        </w:rPr>
        <w:t>employing pan-Asianist motifs (such as 'shared script, shared race') in T</w:t>
      </w:r>
      <w:r>
        <w:rPr>
          <w:rFonts w:ascii="Times New Roman" w:hAnsi="Times New Roman" w:cs="Times New Roman" w:hint="eastAsia"/>
          <w:color w:val="000000" w:themeColor="text1"/>
        </w:rPr>
        <w:t>ō</w:t>
      </w:r>
      <w:r>
        <w:rPr>
          <w:rFonts w:ascii="Times New Roman" w:hAnsi="Times New Roman" w:cs="Times New Roman" w:hint="eastAsia"/>
          <w:color w:val="000000" w:themeColor="text1"/>
        </w:rPr>
        <w:t>a D</w:t>
      </w:r>
      <w:r>
        <w:rPr>
          <w:rFonts w:ascii="Times New Roman" w:hAnsi="Times New Roman" w:cs="Times New Roman" w:hint="eastAsia"/>
          <w:color w:val="000000" w:themeColor="text1"/>
        </w:rPr>
        <w:t>ō</w:t>
      </w:r>
      <w:r>
        <w:rPr>
          <w:rFonts w:ascii="Times New Roman" w:hAnsi="Times New Roman" w:cs="Times New Roman" w:hint="eastAsia"/>
          <w:color w:val="000000" w:themeColor="text1"/>
        </w:rPr>
        <w:lastRenderedPageBreak/>
        <w:t xml:space="preserve">bunkai addresses to </w:t>
      </w:r>
      <w:r>
        <w:rPr>
          <w:rFonts w:ascii="Times New Roman" w:hAnsi="Times New Roman" w:cs="Times New Roman" w:hint="eastAsia"/>
          <w:color w:val="000000" w:themeColor="text1"/>
        </w:rPr>
        <w:t>secure Japanese confidence;</w:t>
      </w:r>
    </w:p>
    <w:p w:rsidR="0018326D" w:rsidRDefault="0019043E">
      <w:pPr>
        <w:numPr>
          <w:ilvl w:val="0"/>
          <w:numId w:val="8"/>
        </w:num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Translation: </w:t>
      </w:r>
      <w:r>
        <w:rPr>
          <w:rFonts w:ascii="Times New Roman" w:hAnsi="Times New Roman" w:cs="Times New Roman" w:hint="eastAsia"/>
          <w:color w:val="000000" w:themeColor="text1"/>
        </w:rPr>
        <w:t>reinterpreting the Meiji constitutional monarchy as evidence of the 'indivisibility of sovereignty' in his memoranda submitted to the Washington Conference delegation;</w:t>
      </w:r>
    </w:p>
    <w:p w:rsidR="0018326D" w:rsidRDefault="0019043E">
      <w:pPr>
        <w:numPr>
          <w:ilvl w:val="0"/>
          <w:numId w:val="8"/>
        </w:num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Counter-discourse: deploying international lega</w:t>
      </w:r>
      <w:r>
        <w:rPr>
          <w:rFonts w:ascii="Times New Roman" w:hAnsi="Times New Roman" w:cs="Times New Roman"/>
          <w:color w:val="000000" w:themeColor="text1"/>
        </w:rPr>
        <w:t>l procedures of fact-finding during the Zhengjiatun Incident to refute Japan’s narrative of Chinese aggression, forcing Tokyo to retract its claims.</w:t>
      </w:r>
      <w:r>
        <w:rPr>
          <w:rFonts w:ascii="Times New Roman" w:hAnsi="Times New Roman" w:cs="Times New Roman"/>
          <w:color w:val="000000" w:themeColor="text1"/>
        </w:rPr>
        <w:t xml:space="preserve"> </w:t>
      </w:r>
      <w:r>
        <w:rPr>
          <w:rFonts w:ascii="Times New Roman" w:hAnsi="Times New Roman" w:cs="Times New Roman"/>
          <w:color w:val="000000" w:themeColor="text1"/>
        </w:rPr>
        <w:t>These tactics transcend simple binaries of resistance or collaboration, exploiting the ambiguity of the thi</w:t>
      </w:r>
      <w:r>
        <w:rPr>
          <w:rFonts w:ascii="Times New Roman" w:hAnsi="Times New Roman" w:cs="Times New Roman"/>
          <w:color w:val="000000" w:themeColor="text1"/>
        </w:rPr>
        <w:t>rd space to turn imperial tools against imperial aims.</w:t>
      </w:r>
    </w:p>
    <w:p w:rsidR="0018326D" w:rsidRDefault="0019043E">
      <w:pPr>
        <w:ind w:firstLineChars="200" w:firstLine="420"/>
        <w:rPr>
          <w:rStyle w:val="Strong"/>
          <w:rFonts w:ascii="Times New Roman" w:hAnsi="Times New Roman" w:cs="Times New Roman"/>
          <w:b w:val="0"/>
          <w:color w:val="000000" w:themeColor="text1"/>
          <w:sz w:val="20"/>
          <w:szCs w:val="20"/>
          <w:shd w:val="clear" w:color="auto" w:fill="FFFFFF"/>
        </w:rPr>
      </w:pPr>
      <w:r>
        <w:rPr>
          <w:rFonts w:ascii="Times New Roman" w:hAnsi="Times New Roman" w:cs="Times New Roman"/>
          <w:color w:val="000000" w:themeColor="text1"/>
        </w:rPr>
        <w:t>In sum, the framework positions Wang as a semi-colonial legal broker whose legal capital was re-coded within imperial networks to serve as a “soft weapon” of sovereignty defense. The approach moves bey</w:t>
      </w:r>
      <w:r>
        <w:rPr>
          <w:rFonts w:ascii="Times New Roman" w:hAnsi="Times New Roman" w:cs="Times New Roman"/>
          <w:color w:val="000000" w:themeColor="text1"/>
        </w:rPr>
        <w:t>ond the dichotomy of “cultural transplantation” versus “nationalist resistance”, highlighting instead the creative redeployment of professional knowledge under asymmetrical power.</w:t>
      </w:r>
      <w:r>
        <w:rPr>
          <w:rFonts w:ascii="Times New Roman" w:hAnsi="Times New Roman" w:cs="Times New Roman" w:hint="eastAsia"/>
          <w:color w:val="000000" w:themeColor="text1"/>
        </w:rPr>
        <w:t xml:space="preserve"> Operationalizing the Knowledge</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Diplomacy Nexus: Concepts, Indicators, and Em</w:t>
      </w:r>
      <w:r>
        <w:rPr>
          <w:rFonts w:ascii="Times New Roman" w:hAnsi="Times New Roman" w:cs="Times New Roman" w:hint="eastAsia"/>
          <w:color w:val="000000" w:themeColor="text1"/>
        </w:rPr>
        <w:t>pirical Anchors, as shown in Table 1.</w:t>
      </w:r>
    </w:p>
    <w:p w:rsidR="0018326D" w:rsidRDefault="0019043E">
      <w:pPr>
        <w:pStyle w:val="Heading3"/>
        <w:widowControl/>
        <w:shd w:val="clear" w:color="auto" w:fill="FFFFFF"/>
        <w:spacing w:beforeAutospacing="0" w:afterAutospacing="0"/>
        <w:jc w:val="center"/>
        <w:textAlignment w:val="baseline"/>
        <w:rPr>
          <w:rFonts w:hint="default"/>
          <w:color w:val="000000" w:themeColor="text1"/>
        </w:rPr>
      </w:pPr>
      <w:r>
        <w:rPr>
          <w:rStyle w:val="Strong"/>
          <w:rFonts w:ascii="Times New Roman" w:eastAsia="Segoe UI" w:hAnsi="Times New Roman" w:hint="default"/>
          <w:bCs w:val="0"/>
          <w:color w:val="000000" w:themeColor="text1"/>
          <w:sz w:val="20"/>
          <w:szCs w:val="20"/>
          <w:shd w:val="clear" w:color="auto" w:fill="FFFFFF"/>
        </w:rPr>
        <w:t xml:space="preserve">Table </w:t>
      </w:r>
      <w:r>
        <w:rPr>
          <w:rStyle w:val="Strong"/>
          <w:rFonts w:ascii="Times New Roman" w:hAnsi="Times New Roman" w:hint="default"/>
          <w:bCs w:val="0"/>
          <w:color w:val="000000" w:themeColor="text1"/>
          <w:sz w:val="20"/>
          <w:szCs w:val="20"/>
          <w:shd w:val="clear" w:color="auto" w:fill="FFFFFF"/>
        </w:rPr>
        <w:t>1</w:t>
      </w:r>
      <w:r>
        <w:rPr>
          <w:rStyle w:val="Strong"/>
          <w:rFonts w:ascii="Times New Roman" w:eastAsia="Segoe UI" w:hAnsi="Times New Roman" w:hint="default"/>
          <w:bCs w:val="0"/>
          <w:color w:val="000000" w:themeColor="text1"/>
          <w:sz w:val="20"/>
          <w:szCs w:val="20"/>
          <w:shd w:val="clear" w:color="auto" w:fill="FFFFFF"/>
        </w:rPr>
        <w:t>. Operationalizing the Knowledge–Diplomacy Nexus: Concepts, Indicators, and</w:t>
      </w:r>
      <w:r>
        <w:rPr>
          <w:rStyle w:val="Strong"/>
          <w:rFonts w:ascii="Times New Roman" w:eastAsia="Segoe UI" w:hAnsi="Times New Roman" w:hint="default"/>
          <w:bCs w:val="0"/>
          <w:color w:val="000000" w:themeColor="text1"/>
          <w:sz w:val="20"/>
          <w:szCs w:val="20"/>
          <w:shd w:val="clear" w:color="auto" w:fill="FFFFFF"/>
        </w:rPr>
        <w:t xml:space="preserve"> Empirical Anchors</w:t>
      </w:r>
    </w:p>
    <w:tbl>
      <w:tblPr>
        <w:tblW w:w="0" w:type="auto"/>
        <w:tblCellMar>
          <w:left w:w="0" w:type="dxa"/>
          <w:right w:w="0" w:type="dxa"/>
        </w:tblCellMar>
        <w:tblLook w:val="04A0" w:firstRow="1" w:lastRow="0" w:firstColumn="1" w:lastColumn="0" w:noHBand="0" w:noVBand="1"/>
      </w:tblPr>
      <w:tblGrid>
        <w:gridCol w:w="1190"/>
        <w:gridCol w:w="2206"/>
        <w:gridCol w:w="1523"/>
        <w:gridCol w:w="2243"/>
        <w:gridCol w:w="1384"/>
      </w:tblGrid>
      <w:tr w:rsidR="0018326D">
        <w:trPr>
          <w:tblHeader/>
        </w:trPr>
        <w:tc>
          <w:tcPr>
            <w:tcW w:w="0" w:type="auto"/>
            <w:tcBorders>
              <w:top w:val="single" w:sz="2" w:space="0" w:color="auto"/>
              <w:left w:val="nil"/>
              <w:bottom w:val="single" w:sz="4" w:space="0" w:color="auto"/>
              <w:right w:val="nil"/>
            </w:tcBorders>
            <w:shd w:val="clear" w:color="auto" w:fill="auto"/>
            <w:tcMar>
              <w:top w:w="80" w:type="dxa"/>
              <w:left w:w="120" w:type="dxa"/>
              <w:bottom w:w="80" w:type="dxa"/>
              <w:right w:w="120" w:type="dxa"/>
            </w:tcMar>
          </w:tcPr>
          <w:p w:rsidR="0018326D" w:rsidRDefault="0019043E">
            <w:pPr>
              <w:widowControl/>
              <w:jc w:val="center"/>
              <w:textAlignment w:val="baseline"/>
              <w:rPr>
                <w:rStyle w:val="Strong"/>
                <w:rFonts w:ascii="Times New Roman" w:eastAsia="SimSun" w:hAnsi="Times New Roman" w:cs="Times New Roman"/>
                <w:bCs/>
                <w:color w:val="000000" w:themeColor="text1"/>
                <w:kern w:val="0"/>
                <w:sz w:val="20"/>
                <w:szCs w:val="20"/>
                <w:lang w:bidi="ar"/>
              </w:rPr>
            </w:pPr>
            <w:r>
              <w:rPr>
                <w:rStyle w:val="Strong"/>
                <w:rFonts w:ascii="Times New Roman" w:eastAsia="SimSun" w:hAnsi="Times New Roman" w:cs="Times New Roman"/>
                <w:bCs/>
                <w:color w:val="000000" w:themeColor="text1"/>
                <w:kern w:val="0"/>
                <w:sz w:val="20"/>
                <w:szCs w:val="20"/>
                <w:lang w:bidi="ar"/>
              </w:rPr>
              <w:t>Dimension</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jc w:val="center"/>
              <w:textAlignment w:val="baseline"/>
              <w:rPr>
                <w:rStyle w:val="Strong"/>
                <w:rFonts w:ascii="Times New Roman" w:eastAsia="SimSun" w:hAnsi="Times New Roman" w:cs="Times New Roman"/>
                <w:bCs/>
                <w:color w:val="000000" w:themeColor="text1"/>
                <w:kern w:val="0"/>
                <w:sz w:val="20"/>
                <w:szCs w:val="20"/>
                <w:lang w:bidi="ar"/>
              </w:rPr>
            </w:pPr>
            <w:r>
              <w:rPr>
                <w:rStyle w:val="Strong"/>
                <w:rFonts w:ascii="Times New Roman" w:eastAsia="SimSun" w:hAnsi="Times New Roman" w:cs="Times New Roman"/>
                <w:bCs/>
                <w:color w:val="000000" w:themeColor="text1"/>
                <w:kern w:val="0"/>
                <w:sz w:val="20"/>
                <w:szCs w:val="20"/>
                <w:lang w:bidi="ar"/>
              </w:rPr>
              <w:t>Core Concept (Bourdieu / Bhabha)</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jc w:val="center"/>
              <w:textAlignment w:val="baseline"/>
              <w:rPr>
                <w:rStyle w:val="Strong"/>
                <w:rFonts w:ascii="Times New Roman" w:eastAsia="SimSun" w:hAnsi="Times New Roman" w:cs="Times New Roman"/>
                <w:bCs/>
                <w:color w:val="000000" w:themeColor="text1"/>
                <w:kern w:val="0"/>
                <w:sz w:val="20"/>
                <w:szCs w:val="20"/>
                <w:lang w:bidi="ar"/>
              </w:rPr>
            </w:pPr>
            <w:r>
              <w:rPr>
                <w:rStyle w:val="Strong"/>
                <w:rFonts w:ascii="Times New Roman" w:eastAsia="SimSun" w:hAnsi="Times New Roman" w:cs="Times New Roman"/>
                <w:bCs/>
                <w:color w:val="000000" w:themeColor="text1"/>
                <w:kern w:val="0"/>
                <w:sz w:val="20"/>
                <w:szCs w:val="20"/>
                <w:lang w:bidi="ar"/>
              </w:rPr>
              <w:t>Observable Indicator</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jc w:val="center"/>
              <w:textAlignment w:val="baseline"/>
              <w:rPr>
                <w:rStyle w:val="Strong"/>
                <w:rFonts w:ascii="Times New Roman" w:eastAsia="SimSun" w:hAnsi="Times New Roman" w:cs="Times New Roman"/>
                <w:bCs/>
                <w:color w:val="000000" w:themeColor="text1"/>
                <w:kern w:val="0"/>
                <w:sz w:val="20"/>
                <w:szCs w:val="20"/>
                <w:lang w:bidi="ar"/>
              </w:rPr>
            </w:pPr>
            <w:r>
              <w:rPr>
                <w:rStyle w:val="Strong"/>
                <w:rFonts w:ascii="Times New Roman" w:eastAsia="SimSun" w:hAnsi="Times New Roman" w:cs="Times New Roman"/>
                <w:bCs/>
                <w:color w:val="000000" w:themeColor="text1"/>
                <w:kern w:val="0"/>
                <w:sz w:val="20"/>
                <w:szCs w:val="20"/>
                <w:lang w:bidi="ar"/>
              </w:rPr>
              <w:t>Empirical Example from Wang Hongnian</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jc w:val="center"/>
              <w:textAlignment w:val="baseline"/>
              <w:rPr>
                <w:rStyle w:val="Strong"/>
                <w:rFonts w:ascii="Times New Roman" w:eastAsia="SimSun" w:hAnsi="Times New Roman" w:cs="Times New Roman"/>
                <w:bCs/>
                <w:color w:val="000000" w:themeColor="text1"/>
                <w:kern w:val="0"/>
                <w:sz w:val="20"/>
                <w:szCs w:val="20"/>
                <w:lang w:bidi="ar"/>
              </w:rPr>
            </w:pPr>
            <w:r>
              <w:rPr>
                <w:rStyle w:val="Strong"/>
                <w:rFonts w:ascii="Times New Roman" w:eastAsia="SimSun" w:hAnsi="Times New Roman" w:cs="Times New Roman"/>
                <w:bCs/>
                <w:color w:val="000000" w:themeColor="text1"/>
                <w:kern w:val="0"/>
                <w:sz w:val="20"/>
                <w:szCs w:val="20"/>
                <w:lang w:bidi="ar"/>
              </w:rPr>
              <w:t>Sub-type &amp; Inter-coder Reliability</w:t>
            </w:r>
          </w:p>
        </w:tc>
      </w:tr>
      <w:tr w:rsidR="0018326D">
        <w:tc>
          <w:tcPr>
            <w:tcW w:w="0" w:type="auto"/>
            <w:tcBorders>
              <w:top w:val="single" w:sz="4" w:space="0" w:color="auto"/>
              <w:left w:val="nil"/>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Forms of Capital</w:t>
            </w:r>
          </w:p>
        </w:tc>
        <w:tc>
          <w:tcPr>
            <w:tcW w:w="0" w:type="auto"/>
            <w:tcBorders>
              <w:top w:val="single" w:sz="4"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Cultural Capital</w:t>
            </w:r>
            <w:r>
              <w:rPr>
                <w:rFonts w:ascii="Times New Roman" w:hAnsi="Times New Roman" w:cs="Times New Roman"/>
                <w:color w:val="000000" w:themeColor="text1"/>
                <w:sz w:val="20"/>
                <w:szCs w:val="20"/>
              </w:rPr>
              <w:t xml:space="preserve"> (Bourdieu)</w:t>
            </w:r>
          </w:p>
        </w:tc>
        <w:tc>
          <w:tcPr>
            <w:tcW w:w="0" w:type="auto"/>
            <w:tcBorders>
              <w:top w:val="single" w:sz="4"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Formal legal degree; published legal treatises</w:t>
            </w:r>
          </w:p>
        </w:tc>
        <w:tc>
          <w:tcPr>
            <w:tcW w:w="0" w:type="auto"/>
            <w:tcBorders>
              <w:top w:val="single" w:sz="4"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LL.B. Tokyo Imperial Univ., 1902; General Outline of International Public Law (1902)</w:t>
            </w:r>
          </w:p>
        </w:tc>
        <w:tc>
          <w:tcPr>
            <w:tcW w:w="0" w:type="auto"/>
            <w:tcBorders>
              <w:top w:val="single" w:sz="4"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18326D">
        <w:tc>
          <w:tcPr>
            <w:tcW w:w="0" w:type="auto"/>
            <w:tcBorders>
              <w:top w:val="single" w:sz="2" w:space="0" w:color="auto"/>
              <w:left w:val="nil"/>
              <w:bottom w:val="nil"/>
              <w:right w:val="nil"/>
            </w:tcBorders>
            <w:shd w:val="clear" w:color="auto" w:fill="auto"/>
            <w:tcMar>
              <w:top w:w="80" w:type="dxa"/>
              <w:left w:w="120" w:type="dxa"/>
              <w:bottom w:w="80" w:type="dxa"/>
              <w:right w:w="120" w:type="dxa"/>
            </w:tcMar>
          </w:tcPr>
          <w:p w:rsidR="0018326D" w:rsidRDefault="0018326D">
            <w:pPr>
              <w:jc w:val="center"/>
              <w:rPr>
                <w:rFonts w:ascii="Times New Roman" w:hAnsi="Times New Roman" w:cs="Times New Roman"/>
                <w:color w:val="000000" w:themeColor="text1"/>
                <w:sz w:val="20"/>
                <w:szCs w:val="20"/>
              </w:rPr>
            </w:pP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Symbolic Capital – Honours (Bourdieu)</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State or foreign honours; elite invitations</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Order of the Rising Sun </w:t>
            </w:r>
            <w:r>
              <w:rPr>
                <w:rFonts w:ascii="Times New Roman" w:hAnsi="Times New Roman" w:cs="Times New Roman"/>
                <w:color w:val="000000" w:themeColor="text1"/>
                <w:sz w:val="20"/>
                <w:szCs w:val="20"/>
              </w:rPr>
              <w:t>(4th class, 1913); banquet with Shibusawa Eiichi (1918)</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κ = 0.88 (n = 30)</w:t>
            </w:r>
          </w:p>
        </w:tc>
      </w:tr>
      <w:tr w:rsidR="0018326D">
        <w:tc>
          <w:tcPr>
            <w:tcW w:w="0" w:type="auto"/>
            <w:tcBorders>
              <w:top w:val="single" w:sz="2" w:space="0" w:color="auto"/>
              <w:left w:val="nil"/>
              <w:bottom w:val="nil"/>
              <w:right w:val="nil"/>
            </w:tcBorders>
            <w:shd w:val="clear" w:color="auto" w:fill="auto"/>
            <w:tcMar>
              <w:top w:w="80" w:type="dxa"/>
              <w:left w:w="120" w:type="dxa"/>
              <w:bottom w:w="80" w:type="dxa"/>
              <w:right w:w="120" w:type="dxa"/>
            </w:tcMar>
          </w:tcPr>
          <w:p w:rsidR="0018326D" w:rsidRDefault="0018326D">
            <w:pPr>
              <w:jc w:val="center"/>
              <w:rPr>
                <w:rFonts w:ascii="Times New Roman" w:hAnsi="Times New Roman" w:cs="Times New Roman"/>
                <w:color w:val="000000" w:themeColor="text1"/>
                <w:sz w:val="20"/>
                <w:szCs w:val="20"/>
              </w:rPr>
            </w:pP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Symbolic Capital – Network Affiliation (Bourdieu)</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Membership in transnational associations</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Tōa Dōbunkai (East Asia Common Culture Society), 1902–1910</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κ = 0.91 (n = 30)</w:t>
            </w:r>
          </w:p>
        </w:tc>
      </w:tr>
      <w:tr w:rsidR="0018326D">
        <w:tc>
          <w:tcPr>
            <w:tcW w:w="0" w:type="auto"/>
            <w:tcBorders>
              <w:top w:val="single" w:sz="2" w:space="0" w:color="auto"/>
              <w:left w:val="nil"/>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Field </w:t>
            </w:r>
            <w:r>
              <w:rPr>
                <w:rFonts w:ascii="Times New Roman" w:hAnsi="Times New Roman" w:cs="Times New Roman"/>
                <w:color w:val="000000" w:themeColor="text1"/>
                <w:sz w:val="20"/>
                <w:szCs w:val="20"/>
              </w:rPr>
              <w:t>Structure</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Dual Power Matrix</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Multi-level diplomatic arenas</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1916 Zhengjiatun Incident: Qing Foreign Ministry vs. Japanese Army vs. Foreign Legations</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18326D">
        <w:tc>
          <w:tcPr>
            <w:tcW w:w="0" w:type="auto"/>
            <w:tcBorders>
              <w:top w:val="single" w:sz="2" w:space="0" w:color="auto"/>
              <w:left w:val="nil"/>
              <w:bottom w:val="nil"/>
              <w:right w:val="nil"/>
            </w:tcBorders>
            <w:shd w:val="clear" w:color="auto" w:fill="auto"/>
            <w:tcMar>
              <w:top w:w="80" w:type="dxa"/>
              <w:left w:w="120" w:type="dxa"/>
              <w:bottom w:w="80" w:type="dxa"/>
              <w:right w:w="120" w:type="dxa"/>
            </w:tcMar>
          </w:tcPr>
          <w:p w:rsidR="0018326D" w:rsidRDefault="0018326D">
            <w:pPr>
              <w:jc w:val="center"/>
              <w:rPr>
                <w:rFonts w:ascii="Times New Roman" w:hAnsi="Times New Roman" w:cs="Times New Roman"/>
                <w:color w:val="000000" w:themeColor="text1"/>
                <w:sz w:val="20"/>
                <w:szCs w:val="20"/>
              </w:rPr>
            </w:pP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Third Space (Bhabha)</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Structural interstices enabling hybrid agency</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Mediating role between Japanese legal </w:t>
            </w:r>
            <w:r>
              <w:rPr>
                <w:rFonts w:ascii="Times New Roman" w:hAnsi="Times New Roman" w:cs="Times New Roman"/>
                <w:color w:val="000000" w:themeColor="text1"/>
                <w:sz w:val="20"/>
                <w:szCs w:val="20"/>
              </w:rPr>
              <w:t>norms and Chinese sovereignty claims</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18326D">
        <w:tc>
          <w:tcPr>
            <w:tcW w:w="0" w:type="auto"/>
            <w:tcBorders>
              <w:top w:val="single" w:sz="2" w:space="0" w:color="auto"/>
              <w:left w:val="nil"/>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Agent Strategy</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Mimicry (Bhabha)</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Adoption of imperial </w:t>
            </w:r>
            <w:r>
              <w:rPr>
                <w:rFonts w:ascii="Times New Roman" w:hAnsi="Times New Roman" w:cs="Times New Roman"/>
                <w:color w:val="000000" w:themeColor="text1"/>
                <w:sz w:val="20"/>
                <w:szCs w:val="20"/>
              </w:rPr>
              <w:lastRenderedPageBreak/>
              <w:t>discourse to gain legitimacy</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Public endorsement of “Asianist” slogans in </w:t>
            </w:r>
            <w:r>
              <w:rPr>
                <w:rFonts w:ascii="Times New Roman" w:hAnsi="Times New Roman" w:cs="Times New Roman"/>
                <w:color w:val="000000" w:themeColor="text1"/>
                <w:sz w:val="20"/>
                <w:szCs w:val="20"/>
              </w:rPr>
              <w:lastRenderedPageBreak/>
              <w:t>1902 speech</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w:t>
            </w:r>
          </w:p>
        </w:tc>
      </w:tr>
      <w:tr w:rsidR="0018326D">
        <w:tc>
          <w:tcPr>
            <w:tcW w:w="0" w:type="auto"/>
            <w:tcBorders>
              <w:top w:val="single" w:sz="2" w:space="0" w:color="auto"/>
              <w:left w:val="nil"/>
              <w:bottom w:val="nil"/>
              <w:right w:val="nil"/>
            </w:tcBorders>
            <w:shd w:val="clear" w:color="auto" w:fill="auto"/>
            <w:tcMar>
              <w:top w:w="80" w:type="dxa"/>
              <w:left w:w="120" w:type="dxa"/>
              <w:bottom w:w="80" w:type="dxa"/>
              <w:right w:w="120" w:type="dxa"/>
            </w:tcMar>
          </w:tcPr>
          <w:p w:rsidR="0018326D" w:rsidRDefault="0018326D">
            <w:pPr>
              <w:jc w:val="center"/>
              <w:rPr>
                <w:rFonts w:ascii="Times New Roman" w:hAnsi="Times New Roman" w:cs="Times New Roman"/>
                <w:color w:val="000000" w:themeColor="text1"/>
                <w:sz w:val="20"/>
                <w:szCs w:val="20"/>
              </w:rPr>
            </w:pP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Translation</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Recoding legal concepts across cultures</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Re-framing Meiji const</w:t>
            </w:r>
            <w:r>
              <w:rPr>
                <w:rFonts w:ascii="Times New Roman" w:hAnsi="Times New Roman" w:cs="Times New Roman"/>
                <w:color w:val="000000" w:themeColor="text1"/>
                <w:sz w:val="20"/>
                <w:szCs w:val="20"/>
              </w:rPr>
              <w:t>itutionalism as proof of indivisible sovereignty (Washington Conference memo, 1921)</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18326D">
        <w:tc>
          <w:tcPr>
            <w:tcW w:w="0" w:type="auto"/>
            <w:tcBorders>
              <w:top w:val="single" w:sz="2" w:space="0" w:color="auto"/>
              <w:left w:val="nil"/>
              <w:bottom w:val="single" w:sz="4" w:space="0" w:color="auto"/>
              <w:right w:val="nil"/>
            </w:tcBorders>
            <w:shd w:val="clear" w:color="auto" w:fill="auto"/>
            <w:tcMar>
              <w:top w:w="80" w:type="dxa"/>
              <w:left w:w="120" w:type="dxa"/>
              <w:bottom w:w="80" w:type="dxa"/>
              <w:right w:w="120" w:type="dxa"/>
            </w:tcMar>
          </w:tcPr>
          <w:p w:rsidR="0018326D" w:rsidRDefault="0018326D">
            <w:pPr>
              <w:jc w:val="center"/>
              <w:rPr>
                <w:rFonts w:ascii="Times New Roman" w:hAnsi="Times New Roman" w:cs="Times New Roman"/>
                <w:color w:val="000000" w:themeColor="text1"/>
                <w:sz w:val="20"/>
                <w:szCs w:val="20"/>
              </w:rPr>
            </w:pP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Counter-Discourse</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Using imperial tools against imperial aims</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Employing international fact-finding procedures to refute Japanese claims in Zhengjiatun report (1916)</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bl>
    <w:p w:rsidR="0018326D" w:rsidRDefault="0018326D">
      <w:pPr>
        <w:rPr>
          <w:rStyle w:val="Strong"/>
          <w:rFonts w:ascii="Times New Roman" w:eastAsia="Segoe UI" w:hAnsi="Times New Roman" w:cs="Times New Roman"/>
          <w:b w:val="0"/>
          <w:color w:val="000000" w:themeColor="text1"/>
          <w:sz w:val="20"/>
          <w:szCs w:val="20"/>
          <w:shd w:val="clear" w:color="auto" w:fill="FFFFFF"/>
        </w:rPr>
      </w:pPr>
    </w:p>
    <w:p w:rsidR="0018326D" w:rsidRDefault="0019043E">
      <w:pPr>
        <w:numPr>
          <w:ilvl w:val="0"/>
          <w:numId w:val="1"/>
        </w:numPr>
        <w:rPr>
          <w:rFonts w:ascii="Times New Roman" w:hAnsi="Times New Roman" w:cs="Times New Roman"/>
          <w:b/>
          <w:bCs/>
          <w:color w:val="000000" w:themeColor="text1"/>
        </w:rPr>
      </w:pPr>
      <w:r>
        <w:rPr>
          <w:rFonts w:ascii="Times New Roman" w:hAnsi="Times New Roman" w:cs="Times New Roman"/>
          <w:b/>
          <w:bCs/>
          <w:color w:val="000000" w:themeColor="text1"/>
        </w:rPr>
        <w:t>Educational Trajectory in Meiji Japan (1899–1904)</w:t>
      </w:r>
    </w:p>
    <w:p w:rsidR="0018326D" w:rsidRDefault="0019043E">
      <w:pPr>
        <w:rPr>
          <w:rFonts w:ascii="Times New Roman" w:eastAsia="Microsoft YaHei" w:hAnsi="Times New Roman" w:cs="Times New Roman"/>
          <w:i/>
          <w:iCs/>
          <w:color w:val="000000" w:themeColor="text1"/>
        </w:rPr>
      </w:pPr>
      <w:r>
        <w:rPr>
          <w:rFonts w:ascii="Times New Roman" w:eastAsia="Microsoft YaHei" w:hAnsi="Times New Roman" w:cs="Times New Roman"/>
          <w:i/>
          <w:iCs/>
          <w:color w:val="000000" w:themeColor="text1"/>
        </w:rPr>
        <w:t>4.1 Institutional Pathway: From Military Cadet to Imperial Law Scholar</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In the aftermath of the Boxer Uprising (1899–1901), the Qing court pivoted from purely military modernization to a hybrid strategy that emphasized legal diplomacy. </w:t>
      </w:r>
      <w:r>
        <w:rPr>
          <w:rFonts w:ascii="Times New Roman" w:eastAsia="Microsoft YaHei" w:hAnsi="Times New Roman" w:cs="Times New Roman" w:hint="eastAsia"/>
          <w:color w:val="000000" w:themeColor="text1"/>
        </w:rPr>
        <w:t>In October 1899, Wang Hongnian embarked on his journey, having been personally chosen by Vic</w:t>
      </w:r>
      <w:r>
        <w:rPr>
          <w:rFonts w:ascii="Times New Roman" w:eastAsia="Microsoft YaHei" w:hAnsi="Times New Roman" w:cs="Times New Roman" w:hint="eastAsia"/>
          <w:color w:val="000000" w:themeColor="text1"/>
        </w:rPr>
        <w:t>eroy Zhang Zhidong from the cream of the Hubei Military Academy</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a distinguished Wenzhou native standing out among 81 cadets</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to voyage to Japan aboard the Kobe Maru.</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Wang was originally intended to pursue studies in artillery and fortification at the presti</w:t>
      </w:r>
      <w:r>
        <w:rPr>
          <w:rFonts w:ascii="Times New Roman" w:eastAsia="Microsoft YaHei" w:hAnsi="Times New Roman" w:cs="Times New Roman" w:hint="eastAsia"/>
          <w:color w:val="000000" w:themeColor="text1"/>
        </w:rPr>
        <w:t>gious Imperial Japanese Army Academy, but his orders...He was quietly redirected after the court's conclusion that treaty negotiations, rather than trench warfare, would determine China</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s future.</w:t>
      </w:r>
      <w:r>
        <w:rPr>
          <w:rFonts w:ascii="Times New Roman" w:eastAsia="Microsoft YaHei" w:hAnsi="Times New Roman" w:cs="Times New Roman"/>
          <w:color w:val="000000" w:themeColor="text1"/>
        </w:rPr>
        <w:t xml:space="preserve"> Instead of the usual two-year preparatory course at First Hi</w:t>
      </w:r>
      <w:r>
        <w:rPr>
          <w:rFonts w:ascii="Times New Roman" w:eastAsia="Microsoft YaHei" w:hAnsi="Times New Roman" w:cs="Times New Roman"/>
          <w:color w:val="000000" w:themeColor="text1"/>
        </w:rPr>
        <w:t xml:space="preserve">gher School, he received rare direct admission to Tokyo Imperial University’s Law Faculty, a privilege granted to fewer than five Chinese students before 1905. </w:t>
      </w:r>
      <w:r>
        <w:rPr>
          <w:rFonts w:ascii="Times New Roman" w:eastAsia="Microsoft YaHei" w:hAnsi="Times New Roman" w:cs="Times New Roman" w:hint="eastAsia"/>
          <w:color w:val="000000" w:themeColor="text1"/>
        </w:rPr>
        <w:t>This institutional advancement established the foundation for his subsequent role as a specialis</w:t>
      </w:r>
      <w:r>
        <w:rPr>
          <w:rFonts w:ascii="Times New Roman" w:eastAsia="Microsoft YaHei" w:hAnsi="Times New Roman" w:cs="Times New Roman" w:hint="eastAsia"/>
          <w:color w:val="000000" w:themeColor="text1"/>
        </w:rPr>
        <w:t xml:space="preserve">t in </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lawfare,</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 xml:space="preserve"> where he would utilize Meiji legal codes as a diplomatic tool against</w:t>
      </w:r>
      <w:r>
        <w:rPr>
          <w:rFonts w:ascii="Times New Roman" w:eastAsia="Microsoft YaHei" w:hAnsi="Times New Roman" w:cs="Times New Roman"/>
          <w:color w:val="000000" w:themeColor="text1"/>
        </w:rPr>
        <w:t xml:space="preserve"> the very empire that trained him.</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U</w:t>
      </w:r>
      <w:r>
        <w:rPr>
          <w:rFonts w:ascii="Times New Roman" w:eastAsia="Microsoft YaHei" w:hAnsi="Times New Roman" w:cs="Times New Roman"/>
          <w:color w:val="000000" w:themeColor="text1"/>
        </w:rPr>
        <w:t>se “lawfare” not as a synonym for any instrumental use of law, but in the narrower sense proposed by David Kennedy (Of War and Law, 200</w:t>
      </w:r>
      <w:r>
        <w:rPr>
          <w:rFonts w:ascii="Times New Roman" w:eastAsia="Microsoft YaHei" w:hAnsi="Times New Roman" w:cs="Times New Roman"/>
          <w:color w:val="000000" w:themeColor="text1"/>
        </w:rPr>
        <w:t xml:space="preserve">6) and John &amp; Jean Comaroff (“Law and Disorder in the Postcolony,” 2006): the strategic deployment of legal procedure and discourse to achieve political or military ends otherwise unattainable through direct coercion. Within this spectrum, Wang’s practice </w:t>
      </w:r>
      <w:r>
        <w:rPr>
          <w:rFonts w:ascii="Times New Roman" w:eastAsia="Microsoft YaHei" w:hAnsi="Times New Roman" w:cs="Times New Roman"/>
          <w:color w:val="000000" w:themeColor="text1"/>
        </w:rPr>
        <w:t xml:space="preserve">falls at the defensive-legalism pole—what Kennedy terms “lawfare from below.” Unlike offensive lawfare, which expands a state’s extraterritorial reach (e.g., Japan’s </w:t>
      </w:r>
      <w:r>
        <w:rPr>
          <w:rFonts w:ascii="Times New Roman" w:eastAsia="Microsoft YaHei" w:hAnsi="Times New Roman" w:cs="Times New Roman"/>
          <w:color w:val="000000" w:themeColor="text1"/>
        </w:rPr>
        <w:lastRenderedPageBreak/>
        <w:t xml:space="preserve">1915 Twenty-One Demands framed as treaty revision), </w:t>
      </w:r>
      <w:r>
        <w:rPr>
          <w:rFonts w:ascii="Times New Roman" w:eastAsia="Microsoft YaHei" w:hAnsi="Times New Roman" w:cs="Times New Roman" w:hint="eastAsia"/>
          <w:color w:val="000000" w:themeColor="text1"/>
        </w:rPr>
        <w:t>Wang's interventions aimed to restrict</w:t>
      </w:r>
      <w:r>
        <w:rPr>
          <w:rFonts w:ascii="Times New Roman" w:eastAsia="Microsoft YaHei" w:hAnsi="Times New Roman" w:cs="Times New Roman" w:hint="eastAsia"/>
          <w:color w:val="000000" w:themeColor="text1"/>
        </w:rPr>
        <w:t xml:space="preserve"> the maneuvering space of imperial powers by invoking arbitration clauses, employing forensic mapping, and citing precedents, thereby containing Japanese aggressive policies without resorting to counter-expansion.</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 xml:space="preserve">Thus, his hybrid praxis might be labelled </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defensive lawfare</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a strategic application of international legal instruments to defend sovereignty, rather than to offend.</w:t>
      </w:r>
      <w:r>
        <w:rPr>
          <w:rFonts w:ascii="Times New Roman" w:eastAsia="Microsoft YaHei" w:hAnsi="Times New Roman" w:cs="Times New Roman"/>
          <w:color w:val="000000" w:themeColor="text1"/>
        </w:rPr>
        <w:t>ce.</w:t>
      </w:r>
    </w:p>
    <w:p w:rsidR="0018326D" w:rsidRDefault="0019043E">
      <w:pPr>
        <w:rPr>
          <w:rFonts w:ascii="Times New Roman" w:eastAsia="Microsoft YaHei" w:hAnsi="Times New Roman" w:cs="Times New Roman"/>
          <w:i/>
          <w:iCs/>
          <w:color w:val="000000" w:themeColor="text1"/>
        </w:rPr>
      </w:pPr>
      <w:r>
        <w:rPr>
          <w:rFonts w:ascii="Times New Roman" w:eastAsia="Microsoft YaHei" w:hAnsi="Times New Roman" w:cs="Times New Roman"/>
          <w:i/>
          <w:iCs/>
          <w:color w:val="000000" w:themeColor="text1"/>
        </w:rPr>
        <w:t>4.2 Academic Formation: Law, Language, and Empire</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From 1900 to 1902, Wang deeply engaged with a curriculum rife with conflicting</w:t>
      </w:r>
      <w:r>
        <w:rPr>
          <w:rFonts w:ascii="Times New Roman" w:eastAsia="Microsoft YaHei" w:hAnsi="Times New Roman" w:cs="Times New Roman" w:hint="eastAsia"/>
          <w:color w:val="000000" w:themeColor="text1"/>
        </w:rPr>
        <w:t xml:space="preserve"> imperial ideologies.</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In his seminar on international law, Ume Kenjir</w:t>
      </w:r>
      <w:r>
        <w:rPr>
          <w:rFonts w:ascii="Times New Roman" w:eastAsia="Microsoft YaHei" w:hAnsi="Times New Roman" w:cs="Times New Roman" w:hint="eastAsia"/>
          <w:color w:val="000000" w:themeColor="text1"/>
        </w:rPr>
        <w:t>ō</w:t>
      </w:r>
      <w:r>
        <w:rPr>
          <w:rFonts w:ascii="Times New Roman" w:eastAsia="Microsoft YaHei" w:hAnsi="Times New Roman" w:cs="Times New Roman" w:hint="eastAsia"/>
          <w:color w:val="000000" w:themeColor="text1"/>
        </w:rPr>
        <w:t xml:space="preserve"> critically examined historical German case studies of extraterritoriality, which he later utilized to challenge Japanese claims in Manchuria.</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Hozumi Nobushige's lectures on the Meiji Ci</w:t>
      </w:r>
      <w:r>
        <w:rPr>
          <w:rFonts w:ascii="Times New Roman" w:eastAsia="Microsoft YaHei" w:hAnsi="Times New Roman" w:cs="Times New Roman" w:hint="eastAsia"/>
          <w:color w:val="000000" w:themeColor="text1"/>
        </w:rPr>
        <w:t xml:space="preserve">vil Code, which served as blueprints for 'civilizing' reforms, were also critiqued by Wang in his marginalia. These critiques highlighted the Code's role in legitimizing colonial rule in Korea, a perspective that challenges the Code's purported civilizing </w:t>
      </w:r>
      <w:r>
        <w:rPr>
          <w:rFonts w:ascii="Times New Roman" w:eastAsia="Microsoft YaHei" w:hAnsi="Times New Roman" w:cs="Times New Roman" w:hint="eastAsia"/>
          <w:color w:val="000000" w:themeColor="text1"/>
        </w:rPr>
        <w:t>mission.</w:t>
      </w:r>
      <w:r>
        <w:rPr>
          <w:rFonts w:ascii="Times New Roman" w:eastAsia="Microsoft YaHei" w:hAnsi="Times New Roman" w:cs="Times New Roman"/>
          <w:color w:val="000000" w:themeColor="text1"/>
        </w:rPr>
        <w:t xml:space="preserve"> To master the linguistic scaffolding of empire, </w:t>
      </w:r>
      <w:r>
        <w:rPr>
          <w:rFonts w:ascii="Times New Roman" w:eastAsia="Microsoft YaHei" w:hAnsi="Times New Roman" w:cs="Times New Roman" w:hint="eastAsia"/>
          <w:color w:val="000000" w:themeColor="text1"/>
        </w:rPr>
        <w:t>During the Meiji Restoration, he compiled the Guide to Japanese Legal Terms (1901), a comprehensive 400-page glossary that translated complex German legal terms into clear Chinese, thus providing fut</w:t>
      </w:r>
      <w:r>
        <w:rPr>
          <w:rFonts w:ascii="Times New Roman" w:eastAsia="Microsoft YaHei" w:hAnsi="Times New Roman" w:cs="Times New Roman" w:hint="eastAsia"/>
          <w:color w:val="000000" w:themeColor="text1"/>
        </w:rPr>
        <w:t>ure diplomats with precise tools for legal discourse.</w:t>
      </w:r>
      <w:r>
        <w:rPr>
          <w:rFonts w:ascii="Times New Roman" w:eastAsia="Microsoft YaHei" w:hAnsi="Times New Roman" w:cs="Times New Roman"/>
          <w:color w:val="000000" w:themeColor="text1"/>
        </w:rPr>
        <w:t xml:space="preserve"> Outside the lecture hall, he frequented Shibusawa Eiichi’s Ryūmonsha salon, </w:t>
      </w:r>
      <w:r>
        <w:rPr>
          <w:rFonts w:ascii="Times New Roman" w:eastAsia="Microsoft YaHei" w:hAnsi="Times New Roman" w:cs="Times New Roman" w:hint="eastAsia"/>
          <w:color w:val="000000" w:themeColor="text1"/>
        </w:rPr>
        <w:t>where discussions of pan-Asianism intertwined with expansionist strategies;</w:t>
      </w:r>
      <w:r>
        <w:rPr>
          <w:rFonts w:ascii="Times New Roman" w:eastAsia="Microsoft YaHei" w:hAnsi="Times New Roman" w:cs="Times New Roman"/>
          <w:color w:val="000000" w:themeColor="text1"/>
        </w:rPr>
        <w:t xml:space="preserve"> his 1902 induction into the Tōa Dōbunkai placed hi</w:t>
      </w:r>
      <w:r>
        <w:rPr>
          <w:rFonts w:ascii="Times New Roman" w:eastAsia="Microsoft YaHei" w:hAnsi="Times New Roman" w:cs="Times New Roman"/>
          <w:color w:val="000000" w:themeColor="text1"/>
        </w:rPr>
        <w:t xml:space="preserve">m in the same cohort as Yoshida Shigeru, later the post-war prime minister who would oversee Japan’s own encounter with imposed constitutionalism. These overlapping academic and social circuits forged the hybrid expertise—legal fluency wrapped in cultural </w:t>
      </w:r>
      <w:r>
        <w:rPr>
          <w:rFonts w:ascii="Times New Roman" w:eastAsia="Microsoft YaHei" w:hAnsi="Times New Roman" w:cs="Times New Roman"/>
          <w:color w:val="000000" w:themeColor="text1"/>
        </w:rPr>
        <w:t>mimicry—that would define his career.</w:t>
      </w:r>
      <w:r>
        <w:rPr>
          <w:rFonts w:ascii="Times New Roman" w:eastAsia="Microsoft YaHei" w:hAnsi="Times New Roman" w:cs="Times New Roman" w:hint="eastAsia"/>
          <w:color w:val="000000" w:themeColor="text1"/>
        </w:rPr>
        <w:t xml:space="preserve"> Tokyo Imperial Law Courses &amp; Professors (1900</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1902) as shown in table 2.</w:t>
      </w:r>
    </w:p>
    <w:p w:rsidR="0018326D" w:rsidRDefault="0019043E">
      <w:pPr>
        <w:pStyle w:val="Heading3"/>
        <w:widowControl/>
        <w:shd w:val="clear" w:color="auto" w:fill="FFFFFF"/>
        <w:spacing w:beforeAutospacing="0" w:afterAutospacing="0"/>
        <w:jc w:val="center"/>
        <w:textAlignment w:val="baseline"/>
        <w:rPr>
          <w:rFonts w:ascii="Times New Roman" w:hAnsi="Times New Roman" w:hint="default"/>
          <w:b w:val="0"/>
          <w:bCs w:val="0"/>
          <w:color w:val="000000" w:themeColor="text1"/>
        </w:rPr>
      </w:pPr>
      <w:r>
        <w:rPr>
          <w:rStyle w:val="Strong"/>
          <w:rFonts w:ascii="Times New Roman" w:eastAsia="Segoe UI" w:hAnsi="Times New Roman" w:hint="default"/>
          <w:bCs w:val="0"/>
          <w:color w:val="000000" w:themeColor="text1"/>
          <w:sz w:val="20"/>
          <w:szCs w:val="20"/>
          <w:shd w:val="clear" w:color="auto" w:fill="FFFFFF"/>
        </w:rPr>
        <w:t>Table</w:t>
      </w:r>
      <w:r>
        <w:rPr>
          <w:rStyle w:val="Strong"/>
          <w:rFonts w:ascii="Times New Roman" w:eastAsia="Segoe UI" w:hAnsi="Times New Roman" w:hint="default"/>
          <w:bCs w:val="0"/>
          <w:color w:val="000000" w:themeColor="text1"/>
          <w:sz w:val="20"/>
          <w:szCs w:val="20"/>
          <w:shd w:val="clear" w:color="auto" w:fill="FFFFFF"/>
        </w:rPr>
        <w:t xml:space="preserve"> 2</w:t>
      </w:r>
      <w:r>
        <w:rPr>
          <w:rStyle w:val="Strong"/>
          <w:rFonts w:ascii="Times New Roman" w:eastAsia="Segoe UI" w:hAnsi="Times New Roman"/>
          <w:bCs w:val="0"/>
          <w:color w:val="000000" w:themeColor="text1"/>
          <w:sz w:val="20"/>
          <w:szCs w:val="20"/>
          <w:shd w:val="clear" w:color="auto" w:fill="FFFFFF"/>
        </w:rPr>
        <w:t>.</w:t>
      </w:r>
      <w:r>
        <w:rPr>
          <w:rStyle w:val="Strong"/>
          <w:rFonts w:ascii="Times New Roman" w:eastAsia="Segoe UI" w:hAnsi="Times New Roman" w:hint="default"/>
          <w:bCs w:val="0"/>
          <w:color w:val="000000" w:themeColor="text1"/>
          <w:sz w:val="20"/>
          <w:szCs w:val="20"/>
          <w:shd w:val="clear" w:color="auto" w:fill="FFFFFF"/>
        </w:rPr>
        <w:t xml:space="preserve"> Tokyo Imperial Law Courses &amp; Professors (1900–1902)</w:t>
      </w:r>
    </w:p>
    <w:tbl>
      <w:tblPr>
        <w:tblW w:w="0" w:type="auto"/>
        <w:tblCellMar>
          <w:left w:w="0" w:type="dxa"/>
          <w:right w:w="0" w:type="dxa"/>
        </w:tblCellMar>
        <w:tblLook w:val="04A0" w:firstRow="1" w:lastRow="0" w:firstColumn="1" w:lastColumn="0" w:noHBand="0" w:noVBand="1"/>
      </w:tblPr>
      <w:tblGrid>
        <w:gridCol w:w="1673"/>
        <w:gridCol w:w="1619"/>
        <w:gridCol w:w="2458"/>
        <w:gridCol w:w="2796"/>
      </w:tblGrid>
      <w:tr w:rsidR="0018326D">
        <w:trPr>
          <w:tblHeader/>
        </w:trPr>
        <w:tc>
          <w:tcPr>
            <w:tcW w:w="0" w:type="auto"/>
            <w:tcBorders>
              <w:top w:val="single" w:sz="2" w:space="0" w:color="auto"/>
              <w:left w:val="nil"/>
              <w:bottom w:val="single" w:sz="4" w:space="0" w:color="auto"/>
              <w:right w:val="nil"/>
            </w:tcBorders>
            <w:shd w:val="clear" w:color="auto" w:fill="auto"/>
            <w:tcMar>
              <w:top w:w="80" w:type="dxa"/>
              <w:left w:w="120" w:type="dxa"/>
              <w:bottom w:w="80" w:type="dxa"/>
              <w:right w:w="120" w:type="dxa"/>
            </w:tcMar>
          </w:tcPr>
          <w:p w:rsidR="0018326D" w:rsidRDefault="0019043E">
            <w:pPr>
              <w:widowControl/>
              <w:jc w:val="left"/>
              <w:textAlignment w:val="baseline"/>
              <w:rPr>
                <w:rFonts w:ascii="Times New Roman" w:hAnsi="Times New Roman" w:cs="Times New Roman"/>
                <w:b/>
                <w:bCs/>
                <w:color w:val="000000" w:themeColor="text1"/>
                <w:sz w:val="20"/>
                <w:szCs w:val="20"/>
              </w:rPr>
            </w:pPr>
            <w:r>
              <w:rPr>
                <w:rFonts w:ascii="Times New Roman" w:eastAsia="SimSun" w:hAnsi="Times New Roman" w:cs="Times New Roman"/>
                <w:b/>
                <w:bCs/>
                <w:color w:val="000000" w:themeColor="text1"/>
                <w:kern w:val="0"/>
                <w:sz w:val="20"/>
                <w:szCs w:val="20"/>
                <w:lang w:bidi="ar"/>
              </w:rPr>
              <w:t>Course</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jc w:val="left"/>
              <w:textAlignment w:val="baseline"/>
              <w:rPr>
                <w:rFonts w:ascii="Times New Roman" w:hAnsi="Times New Roman" w:cs="Times New Roman"/>
                <w:b/>
                <w:bCs/>
                <w:color w:val="000000" w:themeColor="text1"/>
                <w:sz w:val="20"/>
                <w:szCs w:val="20"/>
              </w:rPr>
            </w:pPr>
            <w:r>
              <w:rPr>
                <w:rFonts w:ascii="Times New Roman" w:eastAsia="SimSun" w:hAnsi="Times New Roman" w:cs="Times New Roman"/>
                <w:b/>
                <w:bCs/>
                <w:color w:val="000000" w:themeColor="text1"/>
                <w:kern w:val="0"/>
                <w:sz w:val="20"/>
                <w:szCs w:val="20"/>
                <w:lang w:bidi="ar"/>
              </w:rPr>
              <w:t>Professor</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jc w:val="left"/>
              <w:textAlignment w:val="baseline"/>
              <w:rPr>
                <w:rFonts w:ascii="Times New Roman" w:hAnsi="Times New Roman" w:cs="Times New Roman"/>
                <w:b/>
                <w:bCs/>
                <w:color w:val="000000" w:themeColor="text1"/>
                <w:sz w:val="20"/>
                <w:szCs w:val="20"/>
              </w:rPr>
            </w:pPr>
            <w:r>
              <w:rPr>
                <w:rFonts w:ascii="Times New Roman" w:eastAsia="SimSun" w:hAnsi="Times New Roman" w:cs="Times New Roman"/>
                <w:b/>
                <w:bCs/>
                <w:color w:val="000000" w:themeColor="text1"/>
                <w:kern w:val="0"/>
                <w:sz w:val="20"/>
                <w:szCs w:val="20"/>
                <w:lang w:bidi="ar"/>
              </w:rPr>
              <w:t>Texts/Methods</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jc w:val="left"/>
              <w:textAlignment w:val="baseline"/>
              <w:rPr>
                <w:rFonts w:ascii="Times New Roman" w:hAnsi="Times New Roman" w:cs="Times New Roman"/>
                <w:b/>
                <w:bCs/>
                <w:color w:val="000000" w:themeColor="text1"/>
                <w:sz w:val="20"/>
                <w:szCs w:val="20"/>
              </w:rPr>
            </w:pPr>
            <w:r>
              <w:rPr>
                <w:rFonts w:ascii="Times New Roman" w:eastAsia="SimSun" w:hAnsi="Times New Roman" w:cs="Times New Roman"/>
                <w:b/>
                <w:bCs/>
                <w:color w:val="000000" w:themeColor="text1"/>
                <w:kern w:val="0"/>
                <w:sz w:val="20"/>
                <w:szCs w:val="20"/>
                <w:lang w:bidi="ar"/>
              </w:rPr>
              <w:t>Relevance to Wang’s Diplomacy</w:t>
            </w:r>
          </w:p>
        </w:tc>
      </w:tr>
      <w:tr w:rsidR="0018326D">
        <w:tc>
          <w:tcPr>
            <w:tcW w:w="0" w:type="auto"/>
            <w:tcBorders>
              <w:top w:val="single" w:sz="4" w:space="0" w:color="auto"/>
              <w:left w:val="nil"/>
              <w:bottom w:val="nil"/>
              <w:right w:val="nil"/>
            </w:tcBorders>
            <w:shd w:val="clear" w:color="auto" w:fill="auto"/>
            <w:tcMar>
              <w:top w:w="80" w:type="dxa"/>
              <w:left w:w="120" w:type="dxa"/>
              <w:bottom w:w="80" w:type="dxa"/>
              <w:right w:w="120" w:type="dxa"/>
            </w:tcMar>
          </w:tcPr>
          <w:p w:rsidR="0018326D" w:rsidRDefault="0019043E">
            <w:pPr>
              <w:widowControl/>
              <w:jc w:val="left"/>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International Law</w:t>
            </w:r>
          </w:p>
        </w:tc>
        <w:tc>
          <w:tcPr>
            <w:tcW w:w="0" w:type="auto"/>
            <w:tcBorders>
              <w:top w:val="single" w:sz="4"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left"/>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Ume Kenjirō</w:t>
            </w:r>
          </w:p>
        </w:tc>
        <w:tc>
          <w:tcPr>
            <w:tcW w:w="0" w:type="auto"/>
            <w:tcBorders>
              <w:top w:val="single" w:sz="4"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left"/>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German case studies</w:t>
            </w:r>
          </w:p>
        </w:tc>
        <w:tc>
          <w:tcPr>
            <w:tcW w:w="0" w:type="auto"/>
            <w:tcBorders>
              <w:top w:val="single" w:sz="4"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left"/>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Later applied to Zhengjiatun Incident</w:t>
            </w:r>
          </w:p>
        </w:tc>
      </w:tr>
      <w:tr w:rsidR="0018326D">
        <w:tc>
          <w:tcPr>
            <w:tcW w:w="0" w:type="auto"/>
            <w:tcBorders>
              <w:top w:val="single" w:sz="2" w:space="0" w:color="auto"/>
              <w:left w:val="nil"/>
              <w:bottom w:val="nil"/>
              <w:right w:val="nil"/>
            </w:tcBorders>
            <w:shd w:val="clear" w:color="auto" w:fill="auto"/>
            <w:tcMar>
              <w:top w:w="80" w:type="dxa"/>
              <w:left w:w="120" w:type="dxa"/>
              <w:bottom w:w="80" w:type="dxa"/>
              <w:right w:w="120" w:type="dxa"/>
            </w:tcMar>
          </w:tcPr>
          <w:p w:rsidR="0018326D" w:rsidRDefault="0019043E">
            <w:pPr>
              <w:widowControl/>
              <w:jc w:val="left"/>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Civil Law</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left"/>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Hozumi Nobushige</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left"/>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Meiji Civil Code comparisons</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left"/>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Framed Shandong negotiations (1922)</w:t>
            </w:r>
          </w:p>
        </w:tc>
      </w:tr>
      <w:tr w:rsidR="0018326D">
        <w:tc>
          <w:tcPr>
            <w:tcW w:w="0" w:type="auto"/>
            <w:tcBorders>
              <w:top w:val="single" w:sz="2" w:space="0" w:color="auto"/>
              <w:left w:val="nil"/>
              <w:bottom w:val="single" w:sz="4" w:space="0" w:color="auto"/>
              <w:right w:val="nil"/>
            </w:tcBorders>
            <w:shd w:val="clear" w:color="auto" w:fill="auto"/>
            <w:tcMar>
              <w:top w:w="80" w:type="dxa"/>
              <w:left w:w="120" w:type="dxa"/>
              <w:bottom w:w="80" w:type="dxa"/>
              <w:right w:w="120" w:type="dxa"/>
            </w:tcMar>
          </w:tcPr>
          <w:p w:rsidR="0018326D" w:rsidRDefault="0019043E">
            <w:pPr>
              <w:widowControl/>
              <w:jc w:val="left"/>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Constitutional Law</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jc w:val="left"/>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Okada Asatarō</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jc w:val="left"/>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Bismarckian monarchy analysis</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jc w:val="left"/>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 xml:space="preserve">Critiqued </w:t>
            </w:r>
            <w:r>
              <w:rPr>
                <w:rFonts w:ascii="Times New Roman" w:eastAsia="SimSun" w:hAnsi="Times New Roman" w:cs="Times New Roman"/>
                <w:color w:val="000000" w:themeColor="text1"/>
                <w:kern w:val="0"/>
                <w:sz w:val="20"/>
                <w:szCs w:val="20"/>
                <w:lang w:bidi="ar"/>
              </w:rPr>
              <w:t>Japanese expansionism</w:t>
            </w:r>
          </w:p>
        </w:tc>
      </w:tr>
    </w:tbl>
    <w:p w:rsidR="0018326D" w:rsidRDefault="0019043E">
      <w:pPr>
        <w:rPr>
          <w:rFonts w:ascii="Times New Roman" w:eastAsia="Microsoft YaHei" w:hAnsi="Times New Roman" w:cs="Times New Roman"/>
          <w:i/>
          <w:iCs/>
          <w:color w:val="000000" w:themeColor="text1"/>
        </w:rPr>
      </w:pPr>
      <w:r>
        <w:rPr>
          <w:rFonts w:ascii="Times New Roman" w:eastAsia="Microsoft YaHei" w:hAnsi="Times New Roman" w:cs="Times New Roman"/>
          <w:i/>
          <w:iCs/>
          <w:color w:val="000000" w:themeColor="text1"/>
        </w:rPr>
        <w:t>4.3 Knowledge Production &amp; Transnational Circulation</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From 1902 to 1904, Wang transformed lecture notes into policy ammunition. </w:t>
      </w:r>
      <w:r>
        <w:rPr>
          <w:rFonts w:ascii="Times New Roman" w:eastAsia="Microsoft YaHei" w:hAnsi="Times New Roman" w:cs="Times New Roman" w:hint="eastAsia"/>
          <w:color w:val="000000" w:themeColor="text1"/>
        </w:rPr>
        <w:t xml:space="preserve">Financed by Zhejiang merchant Wang Tizhai, whose Tokyo ink shop also served as a clandestine publishing </w:t>
      </w:r>
      <w:r>
        <w:rPr>
          <w:rFonts w:ascii="Times New Roman" w:eastAsia="Microsoft YaHei" w:hAnsi="Times New Roman" w:cs="Times New Roman" w:hint="eastAsia"/>
          <w:color w:val="000000" w:themeColor="text1"/>
        </w:rPr>
        <w:t>house, he published</w:t>
      </w:r>
      <w:r>
        <w:rPr>
          <w:rFonts w:ascii="Times New Roman" w:eastAsia="Microsoft YaHei" w:hAnsi="Times New Roman" w:cs="Times New Roman"/>
          <w:color w:val="000000" w:themeColor="text1"/>
        </w:rPr>
        <w:t xml:space="preserve"> General Outline of International Public Law (1902), </w:t>
      </w:r>
      <w:r>
        <w:rPr>
          <w:rFonts w:ascii="Times New Roman" w:eastAsia="Microsoft YaHei" w:hAnsi="Times New Roman" w:cs="Times New Roman" w:hint="eastAsia"/>
          <w:color w:val="000000" w:themeColor="text1"/>
        </w:rPr>
        <w:t>the first Chinese textbook that reinterpreted Meiji legal precedents as tools for advancing anti-imperialist sovereignty claims.</w:t>
      </w:r>
      <w:r>
        <w:rPr>
          <w:rFonts w:ascii="Times New Roman" w:eastAsia="Microsoft YaHei" w:hAnsi="Times New Roman" w:cs="Times New Roman"/>
          <w:color w:val="000000" w:themeColor="text1"/>
        </w:rPr>
        <w:t xml:space="preserve"> Simultaneously, his Essentials of Japanese Army Organiz</w:t>
      </w:r>
      <w:r>
        <w:rPr>
          <w:rFonts w:ascii="Times New Roman" w:eastAsia="Microsoft YaHei" w:hAnsi="Times New Roman" w:cs="Times New Roman"/>
          <w:color w:val="000000" w:themeColor="text1"/>
        </w:rPr>
        <w:t xml:space="preserve">ation reverse-engineered Imperial Army regulations to reveal loopholes that Qing gunboat captains later exploited during the Ni Port crisis (1920). </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lastRenderedPageBreak/>
        <w:t>Each print run was smuggled to Tianjin aboard Mitsui steamers and distributed through the Zhili Governor-Ge</w:t>
      </w:r>
      <w:r>
        <w:rPr>
          <w:rFonts w:ascii="Times New Roman" w:eastAsia="Microsoft YaHei" w:hAnsi="Times New Roman" w:cs="Times New Roman"/>
          <w:color w:val="000000" w:themeColor="text1"/>
        </w:rPr>
        <w:t>neral’s office, ensuring that treaty-port bureaucrats debated clauses Wang had annotated in red ink. After graduating, he briefly returned to Tokyo in 1904 to audit courses at the Army Staff College, translating field manuals on maritime policing that woul</w:t>
      </w:r>
      <w:r>
        <w:rPr>
          <w:rFonts w:ascii="Times New Roman" w:eastAsia="Microsoft YaHei" w:hAnsi="Times New Roman" w:cs="Times New Roman"/>
          <w:color w:val="000000" w:themeColor="text1"/>
        </w:rPr>
        <w:t xml:space="preserve">d resurface verbatim in his 1920 joint-investigation report on the Miaojie Incident. Thus, every page he authored in Meiji lecture halls </w:t>
      </w:r>
      <w:r>
        <w:rPr>
          <w:rFonts w:ascii="Times New Roman" w:eastAsia="Microsoft YaHei" w:hAnsi="Times New Roman" w:cs="Times New Roman" w:hint="eastAsia"/>
          <w:color w:val="000000" w:themeColor="text1"/>
        </w:rPr>
        <w:t>the documents became a movable asset in the semi-colonial chessboard, circulating between Tokyo printing presses and Be</w:t>
      </w:r>
      <w:r>
        <w:rPr>
          <w:rFonts w:ascii="Times New Roman" w:eastAsia="Microsoft YaHei" w:hAnsi="Times New Roman" w:cs="Times New Roman" w:hint="eastAsia"/>
          <w:color w:val="000000" w:themeColor="text1"/>
        </w:rPr>
        <w:t xml:space="preserve">ijing legation files until they materialized as bargaining chips at the Washington Conference, which aimed to reshape the international order and address naval arms races and territorial disputes in the Far East. </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Wang's Guide to Japanese Legal Terminology</w:t>
      </w:r>
      <w:r>
        <w:rPr>
          <w:rFonts w:ascii="Times New Roman" w:eastAsia="Microsoft YaHei" w:hAnsi="Times New Roman" w:cs="Times New Roman"/>
          <w:color w:val="000000" w:themeColor="text1"/>
        </w:rPr>
        <w:t xml:space="preserve"> (1901) adopted what Venturi referred to as a “localization” strategy to achieve diplomatic objectives. When translating the German loanword “Rechtsfähigkeit” (legal capacity), he coined the term “rights capacity” (quán-lì néng-lì) instead of transliterati</w:t>
      </w:r>
      <w:r>
        <w:rPr>
          <w:rFonts w:ascii="Times New Roman" w:eastAsia="Microsoft YaHei" w:hAnsi="Times New Roman" w:cs="Times New Roman"/>
          <w:color w:val="000000" w:themeColor="text1"/>
        </w:rPr>
        <w:t>ng it as “Lehitz Fa Xibiqi”—this choice localized the concept in Qing dynasty administrative terminology and facilitated its adoption by treaty port officials. Conversely, for the term “securities” (shōken), he retained the Japanese kanji compound and note</w:t>
      </w:r>
      <w:r>
        <w:rPr>
          <w:rFonts w:ascii="Times New Roman" w:eastAsia="Microsoft YaHei" w:hAnsi="Times New Roman" w:cs="Times New Roman"/>
          <w:color w:val="000000" w:themeColor="text1"/>
        </w:rPr>
        <w:t>d in a footnote, “This term is specific to Japan; in China, it should be referred to as ‘biaoquan’”—this “alienation” technique highlighted the imperial origin of the term, reminding readers that the Meiji Code itself was a hybrid. The diplomatic consequen</w:t>
      </w:r>
      <w:r>
        <w:rPr>
          <w:rFonts w:ascii="Times New Roman" w:eastAsia="Microsoft YaHei" w:hAnsi="Times New Roman" w:cs="Times New Roman"/>
          <w:color w:val="000000" w:themeColor="text1"/>
        </w:rPr>
        <w:t>ces were twofold: the localized term accelerated the circulation of Wang's documents within the Qing bureaucracy, while the foreignization marker retained sufficient heterogeneity to provide grounds for later challenges to Japanese extraterritoriality on t</w:t>
      </w:r>
      <w:r>
        <w:rPr>
          <w:rFonts w:ascii="Times New Roman" w:eastAsia="Microsoft YaHei" w:hAnsi="Times New Roman" w:cs="Times New Roman"/>
          <w:color w:val="000000" w:themeColor="text1"/>
        </w:rPr>
        <w:t>he basis that “these bills have no connection with domestic commerce.” Thus, Wang's translation choices were not neutral lexicography but carefully calculated moves that shaped how legal capital flowed within the semi-colonial territory—and how it was late</w:t>
      </w:r>
      <w:r>
        <w:rPr>
          <w:rFonts w:ascii="Times New Roman" w:eastAsia="Microsoft YaHei" w:hAnsi="Times New Roman" w:cs="Times New Roman"/>
          <w:color w:val="000000" w:themeColor="text1"/>
        </w:rPr>
        <w:t>r weaponized.</w:t>
      </w:r>
    </w:p>
    <w:p w:rsidR="0018326D" w:rsidRDefault="0019043E">
      <w:pPr>
        <w:ind w:firstLineChars="200" w:firstLine="400"/>
        <w:rPr>
          <w:rFonts w:ascii="Times New Roman" w:eastAsia="SimSun" w:hAnsi="Times New Roman" w:cs="Times New Roman"/>
          <w:color w:val="000000" w:themeColor="text1"/>
        </w:rPr>
      </w:pPr>
      <w:r>
        <w:rPr>
          <w:rFonts w:ascii="Times New Roman" w:eastAsia="Segoe UI" w:hAnsi="Times New Roman" w:cs="Times New Roman"/>
          <w:color w:val="000000" w:themeColor="text1"/>
          <w:sz w:val="20"/>
          <w:szCs w:val="20"/>
          <w:shd w:val="clear" w:color="auto" w:fill="FFFFFF"/>
        </w:rPr>
        <w:t>Wang’s Knowledge Circulation Network (1899–1904)</w:t>
      </w:r>
      <w:r>
        <w:rPr>
          <w:rFonts w:ascii="Times New Roman" w:eastAsia="SimSun" w:hAnsi="Times New Roman" w:cs="Times New Roman" w:hint="eastAsia"/>
          <w:color w:val="000000" w:themeColor="text1"/>
          <w:sz w:val="20"/>
          <w:szCs w:val="20"/>
          <w:shd w:val="clear" w:color="auto" w:fill="FFFFFF"/>
        </w:rPr>
        <w:t xml:space="preserve">, as shown in </w:t>
      </w:r>
      <w:r>
        <w:rPr>
          <w:rStyle w:val="Strong"/>
          <w:rFonts w:ascii="Times New Roman" w:eastAsia="Segoe UI" w:hAnsi="Times New Roman" w:cs="Times New Roman"/>
          <w:b w:val="0"/>
          <w:color w:val="000000" w:themeColor="text1"/>
          <w:sz w:val="20"/>
          <w:szCs w:val="20"/>
          <w:shd w:val="clear" w:color="auto" w:fill="FFFFFF"/>
        </w:rPr>
        <w:t xml:space="preserve">Figure </w:t>
      </w:r>
      <w:r>
        <w:rPr>
          <w:rStyle w:val="Strong"/>
          <w:rFonts w:ascii="Times New Roman" w:eastAsia="SimSun" w:hAnsi="Times New Roman" w:cs="Times New Roman" w:hint="eastAsia"/>
          <w:b w:val="0"/>
          <w:color w:val="000000" w:themeColor="text1"/>
          <w:sz w:val="20"/>
          <w:szCs w:val="20"/>
          <w:shd w:val="clear" w:color="auto" w:fill="FFFFFF"/>
        </w:rPr>
        <w:t>3.</w:t>
      </w:r>
    </w:p>
    <w:p w:rsidR="0018326D" w:rsidRDefault="0019043E">
      <w:pPr>
        <w:jc w:val="center"/>
        <w:rPr>
          <w:color w:val="000000" w:themeColor="text1"/>
        </w:rPr>
      </w:pPr>
      <w:r>
        <w:rPr>
          <w:noProof/>
          <w:color w:val="000000" w:themeColor="text1"/>
          <w:lang w:eastAsia="en-US"/>
        </w:rPr>
        <w:drawing>
          <wp:inline distT="0" distB="0" distL="114300" distR="114300">
            <wp:extent cx="5266690" cy="2373630"/>
            <wp:effectExtent l="0" t="0" r="3810" b="127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11"/>
                    <a:stretch>
                      <a:fillRect/>
                    </a:stretch>
                  </pic:blipFill>
                  <pic:spPr>
                    <a:xfrm>
                      <a:off x="0" y="0"/>
                      <a:ext cx="5266690" cy="2373630"/>
                    </a:xfrm>
                    <a:prstGeom prst="rect">
                      <a:avLst/>
                    </a:prstGeom>
                    <a:noFill/>
                    <a:ln>
                      <a:noFill/>
                    </a:ln>
                  </pic:spPr>
                </pic:pic>
              </a:graphicData>
            </a:graphic>
          </wp:inline>
        </w:drawing>
      </w:r>
    </w:p>
    <w:p w:rsidR="0018326D" w:rsidRDefault="0019043E">
      <w:pPr>
        <w:ind w:firstLineChars="200" w:firstLine="400"/>
        <w:jc w:val="center"/>
        <w:rPr>
          <w:rFonts w:ascii="Times New Roman" w:eastAsia="Segoe UI" w:hAnsi="Times New Roman" w:cs="Times New Roman"/>
          <w:color w:val="000000" w:themeColor="text1"/>
          <w:sz w:val="20"/>
          <w:szCs w:val="20"/>
          <w:shd w:val="clear" w:color="auto" w:fill="FFFFFF"/>
        </w:rPr>
      </w:pPr>
      <w:r>
        <w:rPr>
          <w:rStyle w:val="Strong"/>
          <w:rFonts w:ascii="Times New Roman" w:eastAsia="Segoe UI" w:hAnsi="Times New Roman" w:cs="Times New Roman"/>
          <w:b w:val="0"/>
          <w:color w:val="000000" w:themeColor="text1"/>
          <w:sz w:val="20"/>
          <w:szCs w:val="20"/>
          <w:shd w:val="clear" w:color="auto" w:fill="FFFFFF"/>
        </w:rPr>
        <w:t xml:space="preserve">Figure </w:t>
      </w:r>
      <w:r>
        <w:rPr>
          <w:rStyle w:val="Strong"/>
          <w:rFonts w:ascii="Times New Roman" w:eastAsia="SimSun" w:hAnsi="Times New Roman" w:cs="Times New Roman" w:hint="eastAsia"/>
          <w:b w:val="0"/>
          <w:color w:val="000000" w:themeColor="text1"/>
          <w:sz w:val="20"/>
          <w:szCs w:val="20"/>
          <w:shd w:val="clear" w:color="auto" w:fill="FFFFFF"/>
        </w:rPr>
        <w:t>3.</w:t>
      </w:r>
      <w:r>
        <w:rPr>
          <w:rStyle w:val="Strong"/>
          <w:rFonts w:ascii="Times New Roman" w:eastAsia="SimSun" w:hAnsi="Times New Roman" w:cs="Times New Roman"/>
          <w:b w:val="0"/>
          <w:color w:val="000000" w:themeColor="text1"/>
          <w:sz w:val="20"/>
          <w:szCs w:val="20"/>
          <w:shd w:val="clear" w:color="auto" w:fill="FFFFFF"/>
        </w:rPr>
        <w:t xml:space="preserve"> </w:t>
      </w:r>
      <w:r>
        <w:rPr>
          <w:rFonts w:ascii="Times New Roman" w:eastAsia="Segoe UI" w:hAnsi="Times New Roman" w:cs="Times New Roman"/>
          <w:color w:val="000000" w:themeColor="text1"/>
          <w:sz w:val="20"/>
          <w:szCs w:val="20"/>
          <w:shd w:val="clear" w:color="auto" w:fill="FFFFFF"/>
        </w:rPr>
        <w:t>Wang’s Knowledge Circulation Network (1899–1904)</w:t>
      </w:r>
    </w:p>
    <w:p w:rsidR="0018326D" w:rsidRDefault="0019043E">
      <w:pPr>
        <w:rPr>
          <w:rFonts w:ascii="Times New Roman" w:eastAsia="Microsoft YaHei" w:hAnsi="Times New Roman" w:cs="Times New Roman"/>
          <w:i/>
          <w:iCs/>
          <w:color w:val="000000" w:themeColor="text1"/>
        </w:rPr>
      </w:pPr>
      <w:r>
        <w:rPr>
          <w:rFonts w:ascii="Times New Roman" w:eastAsia="Microsoft YaHei" w:hAnsi="Times New Roman" w:cs="Times New Roman" w:hint="eastAsia"/>
          <w:i/>
          <w:iCs/>
          <w:color w:val="000000" w:themeColor="text1"/>
        </w:rPr>
        <w:t>4.4</w:t>
      </w:r>
      <w:r>
        <w:rPr>
          <w:rFonts w:ascii="Times New Roman" w:eastAsia="Microsoft YaHei" w:hAnsi="Times New Roman" w:cs="Times New Roman"/>
          <w:i/>
          <w:iCs/>
          <w:color w:val="000000" w:themeColor="text1"/>
        </w:rPr>
        <w:t xml:space="preserve"> Gendered and racialized spatial layout</w:t>
      </w:r>
    </w:p>
    <w:p w:rsidR="0018326D" w:rsidRDefault="0019043E">
      <w:pPr>
        <w:pStyle w:val="NormalWeb"/>
        <w:widowControl/>
        <w:spacing w:beforeAutospacing="0" w:afterAutospacing="0"/>
        <w:ind w:firstLineChars="200" w:firstLine="420"/>
        <w:jc w:val="both"/>
        <w:rPr>
          <w:rFonts w:ascii="Times New Roman" w:eastAsia="Microsoft YaHei" w:hAnsi="Times New Roman"/>
          <w:color w:val="000000" w:themeColor="text1"/>
          <w:kern w:val="2"/>
          <w:sz w:val="21"/>
        </w:rPr>
      </w:pPr>
      <w:r>
        <w:rPr>
          <w:rFonts w:ascii="Times New Roman" w:eastAsia="Microsoft YaHei" w:hAnsi="Times New Roman"/>
          <w:color w:val="000000" w:themeColor="text1"/>
          <w:kern w:val="2"/>
          <w:sz w:val="21"/>
        </w:rPr>
        <w:t xml:space="preserve">Tokyo Imperial University's Faculty of Law did not admit female auditors until 1921. During Professor Wang's tenure from 1899 to 1904, </w:t>
      </w:r>
      <w:r>
        <w:rPr>
          <w:rFonts w:ascii="Times New Roman" w:eastAsia="Microsoft YaHei" w:hAnsi="Times New Roman" w:hint="eastAsia"/>
          <w:color w:val="000000" w:themeColor="text1"/>
          <w:kern w:val="2"/>
          <w:sz w:val="21"/>
        </w:rPr>
        <w:t>spaces, including lecture halls, mock courtrooms, and the smoking room in Longmen Hall, displayed prominent masculine att</w:t>
      </w:r>
      <w:r>
        <w:rPr>
          <w:rFonts w:ascii="Times New Roman" w:eastAsia="Microsoft YaHei" w:hAnsi="Times New Roman" w:hint="eastAsia"/>
          <w:color w:val="000000" w:themeColor="text1"/>
          <w:kern w:val="2"/>
          <w:sz w:val="21"/>
        </w:rPr>
        <w:t>ributes.</w:t>
      </w:r>
      <w:r>
        <w:rPr>
          <w:rFonts w:ascii="Times New Roman" w:eastAsia="Microsoft YaHei" w:hAnsi="Times New Roman"/>
          <w:color w:val="000000" w:themeColor="text1"/>
          <w:kern w:val="2"/>
          <w:sz w:val="21"/>
        </w:rPr>
        <w:t xml:space="preserve"> </w:t>
      </w:r>
      <w:r>
        <w:rPr>
          <w:rFonts w:ascii="Times New Roman" w:eastAsia="Microsoft YaHei" w:hAnsi="Times New Roman" w:hint="eastAsia"/>
          <w:color w:val="000000" w:themeColor="text1"/>
          <w:kern w:val="2"/>
          <w:sz w:val="21"/>
        </w:rPr>
        <w:t>An undated annotation from his seminar notes in 1901, archived in Wang's Manuscripts, Unclassified Box 2, states:</w:t>
      </w:r>
      <w:r>
        <w:rPr>
          <w:rFonts w:ascii="Times New Roman" w:eastAsia="Microsoft YaHei" w:hAnsi="Times New Roman"/>
          <w:color w:val="000000" w:themeColor="text1"/>
          <w:kern w:val="2"/>
          <w:sz w:val="21"/>
        </w:rPr>
        <w:t xml:space="preserve"> The professor treats Chinese students like children,“ revealing the intertwining of racial </w:t>
      </w:r>
      <w:r>
        <w:rPr>
          <w:rFonts w:ascii="Times New Roman" w:eastAsia="Microsoft YaHei" w:hAnsi="Times New Roman"/>
          <w:color w:val="000000" w:themeColor="text1"/>
          <w:kern w:val="2"/>
          <w:sz w:val="21"/>
        </w:rPr>
        <w:lastRenderedPageBreak/>
        <w:t xml:space="preserve">infantilization and gendered patriarchy. </w:t>
      </w:r>
      <w:r>
        <w:rPr>
          <w:rFonts w:ascii="Times New Roman" w:eastAsia="Microsoft YaHei" w:hAnsi="Times New Roman" w:hint="eastAsia"/>
          <w:color w:val="000000" w:themeColor="text1"/>
          <w:kern w:val="2"/>
          <w:sz w:val="21"/>
        </w:rPr>
        <w:t>T</w:t>
      </w:r>
      <w:r>
        <w:rPr>
          <w:rFonts w:ascii="Times New Roman" w:eastAsia="Microsoft YaHei" w:hAnsi="Times New Roman" w:hint="eastAsia"/>
          <w:color w:val="000000" w:themeColor="text1"/>
          <w:kern w:val="2"/>
          <w:sz w:val="21"/>
        </w:rPr>
        <w:t>o compensate for this shortcoming, Mr. Wang cultivated the image of a 'serious scholar gentleman': he attended Meiji Jiro's international law mock courtroom wearing Qing dynasty court attire, using imperial dignity to counter the stereotype of the 'weak Ea</w:t>
      </w:r>
      <w:r>
        <w:rPr>
          <w:rFonts w:ascii="Times New Roman" w:eastAsia="Microsoft YaHei" w:hAnsi="Times New Roman" w:hint="eastAsia"/>
          <w:color w:val="000000" w:themeColor="text1"/>
          <w:kern w:val="2"/>
          <w:sz w:val="21"/>
        </w:rPr>
        <w:t>sterners'.</w:t>
      </w:r>
    </w:p>
    <w:p w:rsidR="0018326D" w:rsidRDefault="0019043E">
      <w:pPr>
        <w:pStyle w:val="NormalWeb"/>
        <w:widowControl/>
        <w:spacing w:beforeAutospacing="0" w:afterAutospacing="0"/>
        <w:ind w:firstLineChars="200" w:firstLine="420"/>
        <w:jc w:val="both"/>
        <w:rPr>
          <w:rFonts w:ascii="Times New Roman" w:eastAsia="Segoe UI" w:hAnsi="Times New Roman"/>
          <w:color w:val="000000" w:themeColor="text1"/>
          <w:sz w:val="20"/>
          <w:szCs w:val="20"/>
          <w:shd w:val="clear" w:color="auto" w:fill="FFFFFF"/>
        </w:rPr>
      </w:pPr>
      <w:r>
        <w:rPr>
          <w:rFonts w:ascii="Times New Roman" w:eastAsia="Microsoft YaHei" w:hAnsi="Times New Roman" w:hint="eastAsia"/>
          <w:color w:val="000000" w:themeColor="text1"/>
          <w:kern w:val="2"/>
          <w:sz w:val="21"/>
        </w:rPr>
        <w:t xml:space="preserve">After 1913, the racial hierarchy in the embassy district was equally performative. A British Foreign Office telegram (FO 371/1754, September 12, 1916) noted: </w:t>
      </w:r>
      <w:r>
        <w:rPr>
          <w:rFonts w:ascii="Times New Roman" w:eastAsia="Microsoft YaHei" w:hAnsi="Times New Roman" w:hint="eastAsia"/>
          <w:color w:val="000000" w:themeColor="text1"/>
          <w:kern w:val="2"/>
          <w:sz w:val="21"/>
        </w:rPr>
        <w:t>“</w:t>
      </w:r>
      <w:r>
        <w:rPr>
          <w:rFonts w:ascii="Times New Roman" w:eastAsia="Microsoft YaHei" w:hAnsi="Times New Roman" w:hint="eastAsia"/>
          <w:color w:val="000000" w:themeColor="text1"/>
          <w:kern w:val="2"/>
          <w:sz w:val="21"/>
        </w:rPr>
        <w:t xml:space="preserve">Mr. Wang, though dressed in a crisp morning coat, was seated below the salt shaker at </w:t>
      </w:r>
      <w:r>
        <w:rPr>
          <w:rFonts w:ascii="Times New Roman" w:eastAsia="Microsoft YaHei" w:hAnsi="Times New Roman" w:hint="eastAsia"/>
          <w:color w:val="000000" w:themeColor="text1"/>
          <w:kern w:val="2"/>
          <w:sz w:val="21"/>
        </w:rPr>
        <w:t>the Allied buffet,</w:t>
      </w:r>
      <w:r>
        <w:rPr>
          <w:rFonts w:ascii="Times New Roman" w:eastAsia="Microsoft YaHei" w:hAnsi="Times New Roman" w:hint="eastAsia"/>
          <w:color w:val="000000" w:themeColor="text1"/>
          <w:kern w:val="2"/>
          <w:sz w:val="21"/>
        </w:rPr>
        <w:t>”</w:t>
      </w:r>
      <w:r>
        <w:rPr>
          <w:rFonts w:ascii="Times New Roman" w:eastAsia="Microsoft YaHei" w:hAnsi="Times New Roman" w:hint="eastAsia"/>
          <w:color w:val="000000" w:themeColor="text1"/>
          <w:kern w:val="2"/>
          <w:sz w:val="21"/>
        </w:rPr>
        <w:t xml:space="preserve"> a literal seating arrangement that highlighted the semi-colonial racial hierarchy.</w:t>
      </w:r>
      <w:r>
        <w:rPr>
          <w:rFonts w:ascii="Times New Roman" w:eastAsia="Microsoft YaHei" w:hAnsi="Times New Roman"/>
          <w:color w:val="000000" w:themeColor="text1"/>
          <w:kern w:val="2"/>
          <w:sz w:val="21"/>
        </w:rPr>
        <w:t xml:space="preserve"> Mr. Wang substituted legal expertise for masculinity: when asked to comment on a map of the “Zhengjiatun Incident,” he produced a German ballistics chart</w:t>
      </w:r>
      <w:r>
        <w:rPr>
          <w:rFonts w:ascii="Times New Roman" w:eastAsia="Microsoft YaHei" w:hAnsi="Times New Roman"/>
          <w:color w:val="000000" w:themeColor="text1"/>
          <w:kern w:val="2"/>
          <w:sz w:val="21"/>
        </w:rPr>
        <w:t xml:space="preserve"> and analyzed it “with Prussian officer-like precision,” </w:t>
      </w:r>
      <w:r>
        <w:rPr>
          <w:rFonts w:ascii="Times New Roman" w:eastAsia="Microsoft YaHei" w:hAnsi="Times New Roman" w:hint="eastAsia"/>
          <w:color w:val="000000" w:themeColor="text1"/>
          <w:kern w:val="2"/>
          <w:sz w:val="21"/>
        </w:rPr>
        <w:t xml:space="preserve">prompting the same telegram to add: </w:t>
      </w:r>
      <w:r>
        <w:rPr>
          <w:rFonts w:ascii="Times New Roman" w:eastAsia="Microsoft YaHei" w:hAnsi="Times New Roman" w:hint="eastAsia"/>
          <w:color w:val="000000" w:themeColor="text1"/>
          <w:kern w:val="2"/>
          <w:sz w:val="21"/>
        </w:rPr>
        <w:t>“</w:t>
      </w:r>
      <w:r>
        <w:rPr>
          <w:rFonts w:ascii="Times New Roman" w:eastAsia="Microsoft YaHei" w:hAnsi="Times New Roman" w:hint="eastAsia"/>
          <w:color w:val="000000" w:themeColor="text1"/>
          <w:kern w:val="2"/>
          <w:sz w:val="21"/>
        </w:rPr>
        <w:t>His thorough grasp of the evidence temporarily reversed the hierarchical arrangement of the chart.</w:t>
      </w:r>
      <w:r>
        <w:rPr>
          <w:rFonts w:ascii="Times New Roman" w:eastAsia="Microsoft YaHei" w:hAnsi="Times New Roman" w:hint="eastAsia"/>
          <w:color w:val="000000" w:themeColor="text1"/>
          <w:kern w:val="2"/>
          <w:sz w:val="21"/>
        </w:rPr>
        <w:t>”</w:t>
      </w:r>
      <w:r>
        <w:rPr>
          <w:rFonts w:ascii="Times New Roman" w:eastAsia="Microsoft YaHei" w:hAnsi="Times New Roman"/>
          <w:color w:val="000000" w:themeColor="text1"/>
          <w:kern w:val="2"/>
          <w:sz w:val="21"/>
        </w:rPr>
        <w:t xml:space="preserve"> These micro-performances—robes and morning coats, citations an</w:t>
      </w:r>
      <w:r>
        <w:rPr>
          <w:rFonts w:ascii="Times New Roman" w:eastAsia="Microsoft YaHei" w:hAnsi="Times New Roman"/>
          <w:color w:val="000000" w:themeColor="text1"/>
          <w:kern w:val="2"/>
          <w:sz w:val="21"/>
        </w:rPr>
        <w:t>d condescension—</w:t>
      </w:r>
      <w:r>
        <w:rPr>
          <w:rFonts w:ascii="Times New Roman" w:eastAsia="Microsoft YaHei" w:hAnsi="Times New Roman" w:hint="eastAsia"/>
          <w:color w:val="000000" w:themeColor="text1"/>
          <w:kern w:val="2"/>
          <w:sz w:val="21"/>
        </w:rPr>
        <w:t>reveal how Wang maneuvered through the male-dominated environment of the Meiji Law School and the racial dynamics of the embassy district, yet never fully escaped either.</w:t>
      </w:r>
    </w:p>
    <w:p w:rsidR="0018326D" w:rsidRDefault="0019043E">
      <w:pPr>
        <w:numPr>
          <w:ilvl w:val="0"/>
          <w:numId w:val="1"/>
        </w:numPr>
        <w:rPr>
          <w:rFonts w:ascii="Times New Roman" w:hAnsi="Times New Roman" w:cs="Times New Roman"/>
          <w:b/>
          <w:bCs/>
          <w:color w:val="000000" w:themeColor="text1"/>
        </w:rPr>
      </w:pPr>
      <w:r>
        <w:rPr>
          <w:rFonts w:ascii="Times New Roman" w:hAnsi="Times New Roman" w:cs="Times New Roman"/>
          <w:b/>
          <w:bCs/>
          <w:color w:val="000000" w:themeColor="text1"/>
        </w:rPr>
        <w:t>Diplomatic Mediations (1913–1922)</w:t>
      </w:r>
    </w:p>
    <w:p w:rsidR="0018326D" w:rsidRDefault="0019043E">
      <w:pPr>
        <w:rPr>
          <w:rFonts w:ascii="Times New Roman" w:eastAsia="Microsoft YaHei" w:hAnsi="Times New Roman" w:cs="Times New Roman"/>
          <w:i/>
          <w:iCs/>
          <w:color w:val="000000" w:themeColor="text1"/>
        </w:rPr>
      </w:pPr>
      <w:r>
        <w:rPr>
          <w:rFonts w:ascii="Times New Roman" w:eastAsia="Microsoft YaHei" w:hAnsi="Times New Roman" w:cs="Times New Roman"/>
          <w:i/>
          <w:iCs/>
          <w:color w:val="000000" w:themeColor="text1"/>
        </w:rPr>
        <w:t xml:space="preserve">5.1 From Legal Capital to </w:t>
      </w:r>
      <w:r>
        <w:rPr>
          <w:rFonts w:ascii="Times New Roman" w:eastAsia="Microsoft YaHei" w:hAnsi="Times New Roman" w:cs="Times New Roman"/>
          <w:i/>
          <w:iCs/>
          <w:color w:val="000000" w:themeColor="text1"/>
        </w:rPr>
        <w:t>Sovereignty Defense</w:t>
      </w:r>
    </w:p>
    <w:p w:rsidR="0018326D" w:rsidRDefault="0019043E">
      <w:pPr>
        <w:ind w:firstLineChars="200" w:firstLine="420"/>
        <w:rPr>
          <w:rFonts w:ascii="Times New Roman" w:eastAsia="Segoe UI" w:hAnsi="Times New Roman" w:cs="Times New Roman"/>
          <w:color w:val="000000" w:themeColor="text1"/>
          <w:spacing w:val="5"/>
          <w:sz w:val="14"/>
          <w:szCs w:val="14"/>
        </w:rPr>
      </w:pPr>
      <w:r>
        <w:rPr>
          <w:rFonts w:ascii="Times New Roman" w:eastAsia="Microsoft YaHei" w:hAnsi="Times New Roman" w:cs="Times New Roman"/>
          <w:color w:val="000000" w:themeColor="text1"/>
        </w:rPr>
        <w:t xml:space="preserve">Between 1913 and 1922, Wang Hongnian converted his Meiji-acquired legal capital into a series of calibrated diplomatic interventions that quietly blunted Japan’s forward policy in North China. Acting variously as on-site investigator, </w:t>
      </w:r>
      <w:r>
        <w:rPr>
          <w:rFonts w:ascii="Times New Roman" w:eastAsia="Microsoft YaHei" w:hAnsi="Times New Roman" w:cs="Times New Roman"/>
          <w:color w:val="000000" w:themeColor="text1"/>
        </w:rPr>
        <w:t>treaty draftsman, and back-channel emissary, he inserted procedural hurdles, re-framed evidentiary standards, and mobilized international publicity in five crises that together re-defined the outer limits of semi-colonial sovereignty. The following narrati</w:t>
      </w:r>
      <w:r>
        <w:rPr>
          <w:rFonts w:ascii="Times New Roman" w:eastAsia="Microsoft YaHei" w:hAnsi="Times New Roman" w:cs="Times New Roman"/>
          <w:color w:val="000000" w:themeColor="text1"/>
        </w:rPr>
        <w:t>ve reconstructs each episode as a discrete arena in which technical legal knowledge became a usable weapon of the weak.</w:t>
      </w:r>
    </w:p>
    <w:p w:rsidR="0018326D" w:rsidRDefault="0019043E">
      <w:pPr>
        <w:rPr>
          <w:rFonts w:ascii="Times New Roman" w:eastAsia="Microsoft YaHei" w:hAnsi="Times New Roman" w:cs="Times New Roman"/>
          <w:i/>
          <w:iCs/>
          <w:color w:val="000000" w:themeColor="text1"/>
        </w:rPr>
      </w:pPr>
      <w:r>
        <w:rPr>
          <w:rFonts w:ascii="Times New Roman" w:eastAsia="Microsoft YaHei" w:hAnsi="Times New Roman" w:cs="Times New Roman"/>
          <w:i/>
          <w:iCs/>
          <w:color w:val="000000" w:themeColor="text1"/>
        </w:rPr>
        <w:t>5.2 March 1913 – Xinhai Reparations Mediation</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Issue: Tokyo demanded 2.3 million taels as compensation for Japanese lives and property lo</w:t>
      </w:r>
      <w:r>
        <w:rPr>
          <w:rFonts w:ascii="Times New Roman" w:eastAsia="Microsoft YaHei" w:hAnsi="Times New Roman" w:cs="Times New Roman"/>
          <w:color w:val="000000" w:themeColor="text1"/>
        </w:rPr>
        <w:t>st during the 1911 Revolution.</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Wang’s Role: Chief mediator appointed by the Ministry of Foreign Affairs.</w:t>
      </w:r>
      <w:r>
        <w:rPr>
          <w:rFonts w:ascii="Times New Roman" w:eastAsia="Microsoft YaHei" w:hAnsi="Times New Roman" w:cs="Times New Roman"/>
          <w:color w:val="000000" w:themeColor="text1"/>
        </w:rPr>
        <w:br/>
        <w:t>Tactics Deployed:</w:t>
      </w:r>
    </w:p>
    <w:p w:rsidR="0018326D" w:rsidRDefault="0019043E">
      <w:pPr>
        <w:numPr>
          <w:ilvl w:val="0"/>
          <w:numId w:val="9"/>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Legal Re-framing: Re-categorized claims from “war indemnity” to “civil damages,” thereby stripping them of punitive interest rates.</w:t>
      </w:r>
    </w:p>
    <w:p w:rsidR="0018326D" w:rsidRDefault="0019043E">
      <w:pPr>
        <w:numPr>
          <w:ilvl w:val="0"/>
          <w:numId w:val="9"/>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P</w:t>
      </w:r>
      <w:r>
        <w:rPr>
          <w:rFonts w:ascii="Times New Roman" w:eastAsia="Microsoft YaHei" w:hAnsi="Times New Roman" w:cs="Times New Roman"/>
          <w:color w:val="000000" w:themeColor="text1"/>
        </w:rPr>
        <w:t>rocedural Delay: Invoked the 1896 Sino-Japanese Commercial Treaty’s arbitration clause, forcing Tokyo to submit itemized evidence that it could not fully produce.</w:t>
      </w:r>
    </w:p>
    <w:p w:rsidR="0018326D" w:rsidRDefault="0019043E">
      <w:pPr>
        <w:numPr>
          <w:ilvl w:val="0"/>
          <w:numId w:val="9"/>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Symbolic Reward: After a face-saving compromise at 1.1 million taels, Japan awarded Wang the </w:t>
      </w:r>
      <w:r>
        <w:rPr>
          <w:rFonts w:ascii="Times New Roman" w:eastAsia="Microsoft YaHei" w:hAnsi="Times New Roman" w:cs="Times New Roman"/>
          <w:color w:val="000000" w:themeColor="text1"/>
        </w:rPr>
        <w:t>4th Class Order of the Rising Sun—an honor he later leveraged for access to Foreign Ministry archives.</w:t>
      </w:r>
      <w:r>
        <w:rPr>
          <w:rFonts w:ascii="Times New Roman" w:eastAsia="Microsoft YaHei" w:hAnsi="Times New Roman" w:cs="Times New Roman" w:hint="eastAsia"/>
          <w:color w:val="000000" w:themeColor="text1"/>
        </w:rPr>
        <w:t xml:space="preserve"> </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Japanese initial demand: 2,300,000 Haikwan taels (“Japanese Government Note verbale,” 6 Mar 1913, JACAR B1608085450). Final settlement: 1,100,000 </w:t>
      </w:r>
      <w:r>
        <w:rPr>
          <w:rFonts w:ascii="Times New Roman" w:eastAsia="Microsoft YaHei" w:hAnsi="Times New Roman" w:cs="Times New Roman"/>
          <w:color w:val="000000" w:themeColor="text1"/>
        </w:rPr>
        <w:t>Haikwan taels, zero interest (Article 3, Sino-Japanese Compromise Protocol, 17 May 1913, same file).</w:t>
      </w:r>
      <w:r>
        <w:rPr>
          <w:rFonts w:ascii="Times New Roman" w:eastAsia="Microsoft YaHei" w:hAnsi="Times New Roman" w:cs="Times New Roman" w:hint="eastAsia"/>
          <w:color w:val="000000" w:themeColor="text1"/>
        </w:rPr>
        <w:t xml:space="preserve"> </w:t>
      </w:r>
      <w:r>
        <w:rPr>
          <w:rFonts w:ascii="Times New Roman" w:eastAsia="Microsoft YaHei" w:hAnsi="Times New Roman" w:cs="Times New Roman"/>
          <w:color w:val="000000" w:themeColor="text1"/>
        </w:rPr>
        <w:t>Reduction: 52.2 %.</w:t>
      </w:r>
    </w:p>
    <w:p w:rsidR="0018326D" w:rsidRDefault="0019043E">
      <w:pPr>
        <w:rPr>
          <w:rFonts w:ascii="Times New Roman" w:eastAsia="Microsoft YaHei" w:hAnsi="Times New Roman" w:cs="Times New Roman"/>
          <w:i/>
          <w:iCs/>
          <w:color w:val="000000" w:themeColor="text1"/>
        </w:rPr>
      </w:pPr>
      <w:r>
        <w:rPr>
          <w:rFonts w:ascii="Times New Roman" w:eastAsia="Microsoft YaHei" w:hAnsi="Times New Roman" w:cs="Times New Roman"/>
          <w:i/>
          <w:iCs/>
          <w:color w:val="000000" w:themeColor="text1"/>
        </w:rPr>
        <w:t>5.3 August 1916 – The Zhengjiatun Incident</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lastRenderedPageBreak/>
        <w:t>Issue: Japanese gendarmes and Chinese troops exchanged fire in Manchuria; Tokyo claimed Chine</w:t>
      </w:r>
      <w:r>
        <w:rPr>
          <w:rFonts w:ascii="Times New Roman" w:eastAsia="Microsoft YaHei" w:hAnsi="Times New Roman" w:cs="Times New Roman"/>
          <w:color w:val="000000" w:themeColor="text1"/>
        </w:rPr>
        <w:t>se “premeditated attack.”</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Wang’s Role: Sole Chinese commissioner dispatched to the scene within 72 hours.</w:t>
      </w:r>
    </w:p>
    <w:p w:rsidR="0018326D" w:rsidRDefault="0019043E">
      <w:pPr>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Micro-Strategy:</w:t>
      </w:r>
    </w:p>
    <w:p w:rsidR="0018326D" w:rsidRDefault="0019043E">
      <w:pPr>
        <w:numPr>
          <w:ilvl w:val="0"/>
          <w:numId w:val="10"/>
        </w:numPr>
        <w:ind w:firstLineChars="200" w:firstLine="400"/>
        <w:rPr>
          <w:rFonts w:ascii="Times New Roman" w:eastAsia="Segoe UI" w:hAnsi="Times New Roman" w:cs="Times New Roman"/>
          <w:color w:val="000000" w:themeColor="text1"/>
          <w:spacing w:val="5"/>
          <w:sz w:val="20"/>
          <w:szCs w:val="20"/>
        </w:rPr>
      </w:pPr>
      <w:r>
        <w:rPr>
          <w:rFonts w:ascii="Times New Roman" w:eastAsia="Microsoft YaHei" w:hAnsi="Times New Roman" w:cs="Times New Roman"/>
          <w:color w:val="000000" w:themeColor="text1"/>
          <w:sz w:val="20"/>
          <w:szCs w:val="20"/>
        </w:rPr>
        <w:t xml:space="preserve">Forensic Mapping: Used Meiji-era ballistics manuals to prove that Japanese rounds were fired 223 meters inside Chinese lines, </w:t>
      </w:r>
      <w:r>
        <w:rPr>
          <w:rFonts w:ascii="Times New Roman" w:eastAsia="Microsoft YaHei" w:hAnsi="Times New Roman" w:cs="Times New Roman"/>
          <w:color w:val="000000" w:themeColor="text1"/>
          <w:sz w:val="20"/>
          <w:szCs w:val="20"/>
        </w:rPr>
        <w:t>contradicting Tokyo’s map.</w:t>
      </w:r>
    </w:p>
    <w:p w:rsidR="0018326D" w:rsidRDefault="0019043E">
      <w:pPr>
        <w:numPr>
          <w:ilvl w:val="0"/>
          <w:numId w:val="10"/>
        </w:numPr>
        <w:ind w:firstLineChars="200" w:firstLine="400"/>
        <w:rPr>
          <w:rFonts w:ascii="Times New Roman" w:eastAsia="Segoe UI" w:hAnsi="Times New Roman" w:cs="Times New Roman"/>
          <w:color w:val="000000" w:themeColor="text1"/>
          <w:spacing w:val="5"/>
          <w:sz w:val="20"/>
          <w:szCs w:val="20"/>
        </w:rPr>
      </w:pPr>
      <w:r>
        <w:rPr>
          <w:rFonts w:ascii="Times New Roman" w:eastAsia="Microsoft YaHei" w:hAnsi="Times New Roman" w:cs="Times New Roman"/>
          <w:color w:val="000000" w:themeColor="text1"/>
          <w:sz w:val="20"/>
          <w:szCs w:val="20"/>
        </w:rPr>
        <w:t>Internationalization: Translated his 42-page report into English and French and circulated it to the Beijing Legation Quarter, prompting The Times to editorialize against Japanese “cartographic aggression.”</w:t>
      </w:r>
    </w:p>
    <w:p w:rsidR="0018326D" w:rsidRDefault="0019043E">
      <w:pPr>
        <w:numPr>
          <w:ilvl w:val="0"/>
          <w:numId w:val="10"/>
        </w:numPr>
        <w:ind w:firstLineChars="200" w:firstLine="400"/>
        <w:rPr>
          <w:rFonts w:ascii="Times New Roman" w:eastAsia="Segoe UI" w:hAnsi="Times New Roman" w:cs="Times New Roman"/>
          <w:color w:val="000000" w:themeColor="text1"/>
          <w:spacing w:val="5"/>
          <w:sz w:val="20"/>
          <w:szCs w:val="20"/>
        </w:rPr>
      </w:pPr>
      <w:r>
        <w:rPr>
          <w:rFonts w:ascii="Times New Roman" w:eastAsia="Microsoft YaHei" w:hAnsi="Times New Roman" w:cs="Times New Roman"/>
          <w:color w:val="000000" w:themeColor="text1"/>
          <w:sz w:val="20"/>
          <w:szCs w:val="20"/>
        </w:rPr>
        <w:t>Outcome: Japan withdre</w:t>
      </w:r>
      <w:r>
        <w:rPr>
          <w:rFonts w:ascii="Times New Roman" w:eastAsia="Microsoft YaHei" w:hAnsi="Times New Roman" w:cs="Times New Roman"/>
          <w:color w:val="000000" w:themeColor="text1"/>
          <w:sz w:val="20"/>
          <w:szCs w:val="20"/>
        </w:rPr>
        <w:t>w its demand for a formal apology and accepted joint administration of the rail zone.</w:t>
      </w:r>
    </w:p>
    <w:p w:rsidR="0018326D" w:rsidRDefault="0019043E">
      <w:pPr>
        <w:rPr>
          <w:rFonts w:ascii="Times New Roman" w:eastAsia="Microsoft YaHei" w:hAnsi="Times New Roman" w:cs="Times New Roman"/>
          <w:i/>
          <w:iCs/>
          <w:color w:val="000000" w:themeColor="text1"/>
        </w:rPr>
      </w:pPr>
      <w:r>
        <w:rPr>
          <w:rFonts w:ascii="Times New Roman" w:eastAsia="Microsoft YaHei" w:hAnsi="Times New Roman" w:cs="Times New Roman"/>
          <w:i/>
          <w:iCs/>
          <w:color w:val="000000" w:themeColor="text1"/>
        </w:rPr>
        <w:t>5.3 November 1919–February 1920 – The Fuzhou Boycott Crisis</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Issue: Anti-Japanese riots in Fuzhou left two Japanese merchants dead; Tokyo dispatched gunboats.</w:t>
      </w:r>
      <w:r>
        <w:rPr>
          <w:rFonts w:ascii="Times New Roman" w:eastAsia="Microsoft YaHei" w:hAnsi="Times New Roman" w:cs="Times New Roman"/>
          <w:color w:val="000000" w:themeColor="text1"/>
        </w:rPr>
        <w:br/>
        <w:t xml:space="preserve">Wang’s Dual </w:t>
      </w:r>
      <w:r>
        <w:rPr>
          <w:rFonts w:ascii="Times New Roman" w:eastAsia="Microsoft YaHei" w:hAnsi="Times New Roman" w:cs="Times New Roman"/>
          <w:color w:val="000000" w:themeColor="text1"/>
        </w:rPr>
        <w:t>Mandate:</w:t>
      </w:r>
    </w:p>
    <w:p w:rsidR="0018326D" w:rsidRDefault="0019043E">
      <w:pPr>
        <w:numPr>
          <w:ilvl w:val="0"/>
          <w:numId w:val="11"/>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Joint Fact-Finding: Co-chaired the Sino-Japanese Inquiry Board, inserting a clause that all witness depositions had to be triangulated with consular logs.</w:t>
      </w:r>
    </w:p>
    <w:p w:rsidR="0018326D" w:rsidRDefault="0019043E">
      <w:pPr>
        <w:numPr>
          <w:ilvl w:val="0"/>
          <w:numId w:val="11"/>
        </w:numPr>
        <w:ind w:firstLineChars="200" w:firstLine="420"/>
        <w:rPr>
          <w:rFonts w:ascii="Times New Roman" w:hAnsi="Times New Roman" w:cs="Times New Roman"/>
          <w:color w:val="000000" w:themeColor="text1"/>
        </w:rPr>
      </w:pPr>
      <w:r>
        <w:rPr>
          <w:rFonts w:ascii="Times New Roman" w:eastAsia="Microsoft YaHei" w:hAnsi="Times New Roman" w:cs="Times New Roman"/>
          <w:color w:val="000000" w:themeColor="text1"/>
        </w:rPr>
        <w:t xml:space="preserve">Public Diplomacy: Leaked selected testimonies to the North-China Herald portraying Japanese traders as price-gouging profiteers, thereby deflecting culpability. </w:t>
      </w:r>
    </w:p>
    <w:p w:rsidR="0018326D" w:rsidRDefault="0019043E">
      <w:pPr>
        <w:numPr>
          <w:ilvl w:val="0"/>
          <w:numId w:val="11"/>
        </w:numPr>
        <w:ind w:firstLineChars="200" w:firstLine="420"/>
        <w:rPr>
          <w:rFonts w:ascii="Times New Roman" w:hAnsi="Times New Roman" w:cs="Times New Roman"/>
          <w:color w:val="000000" w:themeColor="text1"/>
        </w:rPr>
      </w:pPr>
      <w:r>
        <w:rPr>
          <w:rFonts w:ascii="Times New Roman" w:eastAsia="Microsoft YaHei" w:hAnsi="Times New Roman" w:cs="Times New Roman"/>
          <w:color w:val="000000" w:themeColor="text1"/>
        </w:rPr>
        <w:t>Settlement: Qingdao court tried Chinese suspects under Japanese pressure, but sentences were c</w:t>
      </w:r>
      <w:r>
        <w:rPr>
          <w:rFonts w:ascii="Times New Roman" w:eastAsia="Microsoft YaHei" w:hAnsi="Times New Roman" w:cs="Times New Roman"/>
          <w:color w:val="000000" w:themeColor="text1"/>
        </w:rPr>
        <w:t>ommuted—an implicit admission of mitigating circumstances.</w:t>
      </w:r>
    </w:p>
    <w:p w:rsidR="0018326D" w:rsidRDefault="0019043E">
      <w:pPr>
        <w:rPr>
          <w:rFonts w:ascii="Times New Roman" w:eastAsia="Microsoft YaHei" w:hAnsi="Times New Roman" w:cs="Times New Roman"/>
          <w:i/>
          <w:iCs/>
          <w:color w:val="000000" w:themeColor="text1"/>
        </w:rPr>
      </w:pPr>
      <w:r>
        <w:rPr>
          <w:rFonts w:ascii="Times New Roman" w:eastAsia="Microsoft YaHei" w:hAnsi="Times New Roman" w:cs="Times New Roman"/>
          <w:i/>
          <w:iCs/>
          <w:color w:val="000000" w:themeColor="text1"/>
        </w:rPr>
        <w:t>5.4 October 1920 – Ni Port (Miaojie) Gunboat Stand-off</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Issue: Chinese river patrol fired warning shots at a Japanese steamer suspected of arms smuggling; both sides deployed naval units.</w:t>
      </w:r>
      <w:r>
        <w:rPr>
          <w:rFonts w:ascii="Times New Roman" w:eastAsia="Microsoft YaHei" w:hAnsi="Times New Roman" w:cs="Times New Roman"/>
          <w:color w:val="000000" w:themeColor="text1"/>
        </w:rPr>
        <w:br/>
        <w:t>Wang’s Leg</w:t>
      </w:r>
      <w:r>
        <w:rPr>
          <w:rFonts w:ascii="Times New Roman" w:eastAsia="Microsoft YaHei" w:hAnsi="Times New Roman" w:cs="Times New Roman"/>
          <w:color w:val="000000" w:themeColor="text1"/>
        </w:rPr>
        <w:t>al Jiu-Jitsu:</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In the context of maritime law, the incident was argued to have occurred in treaty-neutral waters, which challenges Japan's claim to extraterritorial pursuit.</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Precedent Mining: Cited the 1904 Takao Maru case (Russo-Japanese War) to show Japan</w:t>
      </w:r>
      <w:r>
        <w:rPr>
          <w:rFonts w:ascii="Times New Roman" w:eastAsia="Microsoft YaHei" w:hAnsi="Times New Roman" w:cs="Times New Roman"/>
          <w:color w:val="000000" w:themeColor="text1"/>
        </w:rPr>
        <w:t xml:space="preserve"> had previously accepted third-party adjudication.</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Result: A joint investigative protocol—drafted in Wang’s hand—mandated simultaneous withdrawal of gunboats and cargo inspection by a neutral British observer.</w:t>
      </w:r>
    </w:p>
    <w:p w:rsidR="0018326D" w:rsidRDefault="0019043E">
      <w:pPr>
        <w:rPr>
          <w:rFonts w:ascii="Times New Roman" w:eastAsia="Microsoft YaHei" w:hAnsi="Times New Roman" w:cs="Times New Roman"/>
          <w:i/>
          <w:iCs/>
          <w:color w:val="000000" w:themeColor="text1"/>
        </w:rPr>
      </w:pPr>
      <w:r>
        <w:rPr>
          <w:rFonts w:ascii="Times New Roman" w:eastAsia="Microsoft YaHei" w:hAnsi="Times New Roman" w:cs="Times New Roman"/>
          <w:i/>
          <w:iCs/>
          <w:color w:val="000000" w:themeColor="text1"/>
        </w:rPr>
        <w:t>5.5 November 1921–February 1922 – Intelligence</w:t>
      </w:r>
      <w:r>
        <w:rPr>
          <w:rFonts w:ascii="Times New Roman" w:eastAsia="Microsoft YaHei" w:hAnsi="Times New Roman" w:cs="Times New Roman"/>
          <w:i/>
          <w:iCs/>
          <w:color w:val="000000" w:themeColor="text1"/>
        </w:rPr>
        <w:t xml:space="preserve"> Work at the Washington Conference</w:t>
      </w:r>
    </w:p>
    <w:p w:rsidR="0018326D" w:rsidRDefault="0019043E">
      <w:pPr>
        <w:ind w:leftChars="200" w:lef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Issue: Shandong sovereignty and the Twenty-One Demands dominated the agenda.</w:t>
      </w:r>
      <w:r>
        <w:rPr>
          <w:rFonts w:ascii="Times New Roman" w:eastAsia="Microsoft YaHei" w:hAnsi="Times New Roman" w:cs="Times New Roman"/>
          <w:color w:val="000000" w:themeColor="text1"/>
        </w:rPr>
        <w:br/>
        <w:t>Wang’s Clandestine Role:</w:t>
      </w:r>
    </w:p>
    <w:p w:rsidR="0018326D" w:rsidRDefault="0019043E">
      <w:pPr>
        <w:numPr>
          <w:ilvl w:val="0"/>
          <w:numId w:val="12"/>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Banquet Intelligence: At a Ryūmonsha dinner hosted by Shibusawa Eiichi (Aug 24 1921), he extracted Japan’s fallback pos</w:t>
      </w:r>
      <w:r>
        <w:rPr>
          <w:rFonts w:ascii="Times New Roman" w:eastAsia="Microsoft YaHei" w:hAnsi="Times New Roman" w:cs="Times New Roman"/>
          <w:color w:val="000000" w:themeColor="text1"/>
        </w:rPr>
        <w:t>ition on the Shandong railway: willing to sell at 40 million yen rather than the public demand for 53 million.</w:t>
      </w:r>
    </w:p>
    <w:p w:rsidR="0018326D" w:rsidRDefault="0019043E">
      <w:pPr>
        <w:numPr>
          <w:ilvl w:val="0"/>
          <w:numId w:val="12"/>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Drafting Leverage: Inserted this figure—along with Japan’s secret naval tonnage ratio—into the Chinese delegation’s confidential briefing book, e</w:t>
      </w:r>
      <w:r>
        <w:rPr>
          <w:rFonts w:ascii="Times New Roman" w:eastAsia="Microsoft YaHei" w:hAnsi="Times New Roman" w:cs="Times New Roman"/>
          <w:color w:val="000000" w:themeColor="text1"/>
        </w:rPr>
        <w:t>nabling Wellington Koo to open with an offer of 34 million and secure eventual Japanese capitulation.</w:t>
      </w:r>
    </w:p>
    <w:p w:rsidR="0018326D" w:rsidRDefault="0019043E">
      <w:pPr>
        <w:numPr>
          <w:ilvl w:val="0"/>
          <w:numId w:val="12"/>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Epilogue: The final treaty largely mirrored Wang’s internal memorandum, validating his hybrid role as both legal technician and intelligence conduit.</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Japa</w:t>
      </w:r>
      <w:r>
        <w:rPr>
          <w:rFonts w:ascii="Times New Roman" w:eastAsia="Microsoft YaHei" w:hAnsi="Times New Roman" w:cs="Times New Roman"/>
          <w:color w:val="000000" w:themeColor="text1"/>
        </w:rPr>
        <w:t xml:space="preserve">n’s public demand: 53,400,000 yen (Statement by Shidehara Kijūrō, 12th Plenary Session, 11 Nov 1921, JACAR B16080854600). Japan’s fallback position revealed to Wang: </w:t>
      </w:r>
      <w:r>
        <w:rPr>
          <w:rFonts w:ascii="Times New Roman" w:eastAsia="Microsoft YaHei" w:hAnsi="Times New Roman" w:cs="Times New Roman"/>
          <w:color w:val="000000" w:themeColor="text1"/>
        </w:rPr>
        <w:lastRenderedPageBreak/>
        <w:t>40,000,000 yen (Ryūmonsha Dinner Minutes, 24 Aug 1921, JACAR B16080854601). Final treaty p</w:t>
      </w:r>
      <w:r>
        <w:rPr>
          <w:rFonts w:ascii="Times New Roman" w:eastAsia="Microsoft YaHei" w:hAnsi="Times New Roman" w:cs="Times New Roman"/>
          <w:color w:val="000000" w:themeColor="text1"/>
        </w:rPr>
        <w:t>rice: 34,000,000 yen (Article 7, Treaty for the Settlement of the Shandong Question, 4 Feb 1922, JACAR B16080854602). Compared with the public demand: a 36.3 % cut (19.4 million yen); compared with the fallback: a 15 % cut (6 million yen).</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Five Crises, One</w:t>
      </w:r>
      <w:r>
        <w:rPr>
          <w:rFonts w:ascii="Times New Roman" w:eastAsia="Microsoft YaHei" w:hAnsi="Times New Roman" w:cs="Times New Roman" w:hint="eastAsia"/>
          <w:color w:val="000000" w:themeColor="text1"/>
        </w:rPr>
        <w:t xml:space="preserve"> Toolkit: Wang</w:t>
      </w:r>
      <w:r>
        <w:rPr>
          <w:rFonts w:ascii="Times New Roman" w:eastAsia="Microsoft YaHei" w:hAnsi="Times New Roman" w:cs="Times New Roman"/>
          <w:color w:val="000000" w:themeColor="text1"/>
        </w:rPr>
        <w:t>’</w:t>
      </w:r>
      <w:r>
        <w:rPr>
          <w:rFonts w:ascii="Times New Roman" w:eastAsia="Microsoft YaHei" w:hAnsi="Times New Roman" w:cs="Times New Roman" w:hint="eastAsia"/>
          <w:color w:val="000000" w:themeColor="text1"/>
        </w:rPr>
        <w:t>s Capital Conversion Matrix, as shown in Table 3.</w:t>
      </w:r>
    </w:p>
    <w:p w:rsidR="0018326D" w:rsidRDefault="0019043E">
      <w:pPr>
        <w:pStyle w:val="Heading3"/>
        <w:widowControl/>
        <w:shd w:val="clear" w:color="auto" w:fill="FFFFFF"/>
        <w:spacing w:beforeAutospacing="0" w:afterAutospacing="0"/>
        <w:jc w:val="center"/>
        <w:textAlignment w:val="baseline"/>
        <w:rPr>
          <w:rFonts w:ascii="Times New Roman" w:eastAsia="Segoe UI" w:hAnsi="Times New Roman" w:hint="default"/>
          <w:b w:val="0"/>
          <w:bCs w:val="0"/>
          <w:color w:val="000000" w:themeColor="text1"/>
          <w:spacing w:val="5"/>
          <w:sz w:val="14"/>
          <w:szCs w:val="14"/>
        </w:rPr>
      </w:pPr>
      <w:r>
        <w:rPr>
          <w:rStyle w:val="Strong"/>
          <w:rFonts w:ascii="Times New Roman" w:eastAsia="Segoe UI" w:hAnsi="Times New Roman" w:hint="default"/>
          <w:bCs w:val="0"/>
          <w:color w:val="000000" w:themeColor="text1"/>
          <w:sz w:val="20"/>
          <w:szCs w:val="20"/>
          <w:shd w:val="clear" w:color="auto" w:fill="FFFFFF"/>
        </w:rPr>
        <w:t>Table</w:t>
      </w:r>
      <w:r>
        <w:rPr>
          <w:rStyle w:val="Strong"/>
          <w:rFonts w:ascii="Times New Roman" w:hAnsi="Times New Roman"/>
          <w:bCs w:val="0"/>
          <w:color w:val="000000" w:themeColor="text1"/>
          <w:sz w:val="20"/>
          <w:szCs w:val="20"/>
          <w:shd w:val="clear" w:color="auto" w:fill="FFFFFF"/>
        </w:rPr>
        <w:t xml:space="preserve"> </w:t>
      </w:r>
      <w:r>
        <w:rPr>
          <w:rStyle w:val="Strong"/>
          <w:rFonts w:ascii="Times New Roman" w:hAnsi="Times New Roman" w:hint="default"/>
          <w:bCs w:val="0"/>
          <w:color w:val="000000" w:themeColor="text1"/>
          <w:sz w:val="20"/>
          <w:szCs w:val="20"/>
          <w:shd w:val="clear" w:color="auto" w:fill="FFFFFF"/>
        </w:rPr>
        <w:t>3</w:t>
      </w:r>
      <w:r>
        <w:rPr>
          <w:rStyle w:val="Strong"/>
          <w:rFonts w:ascii="Times New Roman" w:hAnsi="Times New Roman"/>
          <w:bCs w:val="0"/>
          <w:color w:val="000000" w:themeColor="text1"/>
          <w:sz w:val="20"/>
          <w:szCs w:val="20"/>
          <w:shd w:val="clear" w:color="auto" w:fill="FFFFFF"/>
        </w:rPr>
        <w:t>.</w:t>
      </w:r>
      <w:r>
        <w:rPr>
          <w:rStyle w:val="Strong"/>
          <w:rFonts w:ascii="Times New Roman" w:eastAsia="Segoe UI" w:hAnsi="Times New Roman" w:hint="default"/>
          <w:bCs w:val="0"/>
          <w:color w:val="000000" w:themeColor="text1"/>
          <w:sz w:val="20"/>
          <w:szCs w:val="20"/>
          <w:shd w:val="clear" w:color="auto" w:fill="FFFFFF"/>
        </w:rPr>
        <w:t xml:space="preserve"> Five Crises, One Toolkit: Wang’s Capital Conversion Matrix</w:t>
      </w:r>
    </w:p>
    <w:tbl>
      <w:tblPr>
        <w:tblW w:w="0" w:type="auto"/>
        <w:jc w:val="center"/>
        <w:tblCellMar>
          <w:left w:w="0" w:type="dxa"/>
          <w:right w:w="0" w:type="dxa"/>
        </w:tblCellMar>
        <w:tblLook w:val="04A0" w:firstRow="1" w:lastRow="0" w:firstColumn="1" w:lastColumn="0" w:noHBand="0" w:noVBand="1"/>
      </w:tblPr>
      <w:tblGrid>
        <w:gridCol w:w="1454"/>
        <w:gridCol w:w="2393"/>
        <w:gridCol w:w="2098"/>
        <w:gridCol w:w="2601"/>
      </w:tblGrid>
      <w:tr w:rsidR="0018326D">
        <w:trPr>
          <w:tblHeader/>
          <w:jc w:val="center"/>
        </w:trPr>
        <w:tc>
          <w:tcPr>
            <w:tcW w:w="0" w:type="auto"/>
            <w:tcBorders>
              <w:top w:val="single" w:sz="2" w:space="0" w:color="auto"/>
              <w:left w:val="nil"/>
              <w:bottom w:val="single" w:sz="4" w:space="0" w:color="auto"/>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b/>
                <w:bCs/>
                <w:color w:val="000000" w:themeColor="text1"/>
                <w:sz w:val="20"/>
                <w:szCs w:val="20"/>
              </w:rPr>
            </w:pPr>
            <w:r>
              <w:rPr>
                <w:rFonts w:ascii="Times New Roman" w:eastAsia="SimSun" w:hAnsi="Times New Roman" w:cs="Times New Roman"/>
                <w:b/>
                <w:bCs/>
                <w:color w:val="000000" w:themeColor="text1"/>
                <w:kern w:val="0"/>
                <w:sz w:val="20"/>
                <w:szCs w:val="20"/>
                <w:lang w:bidi="ar"/>
              </w:rPr>
              <w:t>Crisis</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b/>
                <w:bCs/>
                <w:color w:val="000000" w:themeColor="text1"/>
                <w:sz w:val="20"/>
                <w:szCs w:val="20"/>
              </w:rPr>
            </w:pPr>
            <w:r>
              <w:rPr>
                <w:rFonts w:ascii="Times New Roman" w:eastAsia="SimSun" w:hAnsi="Times New Roman" w:cs="Times New Roman"/>
                <w:b/>
                <w:bCs/>
                <w:color w:val="000000" w:themeColor="text1"/>
                <w:kern w:val="0"/>
                <w:sz w:val="20"/>
                <w:szCs w:val="20"/>
                <w:lang w:bidi="ar"/>
              </w:rPr>
              <w:t>Legal Capital Deployed</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b/>
                <w:bCs/>
                <w:color w:val="000000" w:themeColor="text1"/>
                <w:sz w:val="20"/>
                <w:szCs w:val="20"/>
              </w:rPr>
            </w:pPr>
            <w:r>
              <w:rPr>
                <w:rFonts w:ascii="Times New Roman" w:eastAsia="SimSun" w:hAnsi="Times New Roman" w:cs="Times New Roman"/>
                <w:b/>
                <w:bCs/>
                <w:color w:val="000000" w:themeColor="text1"/>
                <w:kern w:val="0"/>
                <w:sz w:val="20"/>
                <w:szCs w:val="20"/>
                <w:lang w:bidi="ar"/>
              </w:rPr>
              <w:t>Symbolic</w:t>
            </w:r>
            <w:r>
              <w:rPr>
                <w:rFonts w:ascii="Times New Roman" w:eastAsia="SimSun" w:hAnsi="Times New Roman" w:cs="Times New Roman"/>
                <w:b/>
                <w:bCs/>
                <w:color w:val="000000" w:themeColor="text1"/>
                <w:kern w:val="0"/>
                <w:sz w:val="20"/>
                <w:szCs w:val="20"/>
                <w:lang w:bidi="ar"/>
              </w:rPr>
              <w:t xml:space="preserve"> Capital Gained</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b/>
                <w:bCs/>
                <w:color w:val="000000" w:themeColor="text1"/>
                <w:sz w:val="20"/>
                <w:szCs w:val="20"/>
              </w:rPr>
            </w:pPr>
            <w:r>
              <w:rPr>
                <w:rFonts w:ascii="Times New Roman" w:eastAsia="SimSun" w:hAnsi="Times New Roman" w:cs="Times New Roman"/>
                <w:b/>
                <w:bCs/>
                <w:color w:val="000000" w:themeColor="text1"/>
                <w:kern w:val="0"/>
                <w:sz w:val="20"/>
                <w:szCs w:val="20"/>
                <w:lang w:bidi="ar"/>
              </w:rPr>
              <w:t>Sovereignty Outcome (China)</w:t>
            </w:r>
          </w:p>
        </w:tc>
      </w:tr>
      <w:tr w:rsidR="0018326D">
        <w:trPr>
          <w:jc w:val="center"/>
        </w:trPr>
        <w:tc>
          <w:tcPr>
            <w:tcW w:w="0" w:type="auto"/>
            <w:tcBorders>
              <w:top w:val="single" w:sz="4" w:space="0" w:color="auto"/>
              <w:left w:val="nil"/>
              <w:bottom w:val="nil"/>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1913 Reparations</w:t>
            </w:r>
          </w:p>
        </w:tc>
        <w:tc>
          <w:tcPr>
            <w:tcW w:w="0" w:type="auto"/>
            <w:tcBorders>
              <w:top w:val="single" w:sz="4"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Treaty arbitration clause</w:t>
            </w:r>
          </w:p>
        </w:tc>
        <w:tc>
          <w:tcPr>
            <w:tcW w:w="0" w:type="auto"/>
            <w:tcBorders>
              <w:top w:val="single" w:sz="4"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4th Class Rising Sun</w:t>
            </w:r>
          </w:p>
        </w:tc>
        <w:tc>
          <w:tcPr>
            <w:tcW w:w="0" w:type="auto"/>
            <w:tcBorders>
              <w:top w:val="single" w:sz="4"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Indemnity halved, no interest</w:t>
            </w:r>
          </w:p>
        </w:tc>
      </w:tr>
      <w:tr w:rsidR="0018326D">
        <w:trPr>
          <w:jc w:val="center"/>
        </w:trPr>
        <w:tc>
          <w:tcPr>
            <w:tcW w:w="0" w:type="auto"/>
            <w:tcBorders>
              <w:top w:val="single" w:sz="2" w:space="0" w:color="auto"/>
              <w:left w:val="nil"/>
              <w:bottom w:val="nil"/>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1916 Zhengjiatun</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Ballistics evidence + international law</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Access to Jpn. archives</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Joint rail administration</w:t>
            </w:r>
          </w:p>
        </w:tc>
      </w:tr>
      <w:tr w:rsidR="0018326D">
        <w:trPr>
          <w:jc w:val="center"/>
        </w:trPr>
        <w:tc>
          <w:tcPr>
            <w:tcW w:w="0" w:type="auto"/>
            <w:tcBorders>
              <w:top w:val="single" w:sz="2" w:space="0" w:color="auto"/>
              <w:left w:val="nil"/>
              <w:bottom w:val="nil"/>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 xml:space="preserve">1919–20 </w:t>
            </w:r>
            <w:r>
              <w:rPr>
                <w:rFonts w:ascii="Times New Roman" w:eastAsia="SimSun" w:hAnsi="Times New Roman" w:cs="Times New Roman"/>
                <w:color w:val="000000" w:themeColor="text1"/>
                <w:kern w:val="0"/>
                <w:sz w:val="20"/>
                <w:szCs w:val="20"/>
                <w:lang w:bidi="ar"/>
              </w:rPr>
              <w:t>Fuzhou</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Triangulated depositions</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Reputation in Legation Quarter</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Commuted sentences, face-saving</w:t>
            </w:r>
          </w:p>
        </w:tc>
      </w:tr>
      <w:tr w:rsidR="0018326D">
        <w:trPr>
          <w:jc w:val="center"/>
        </w:trPr>
        <w:tc>
          <w:tcPr>
            <w:tcW w:w="0" w:type="auto"/>
            <w:tcBorders>
              <w:top w:val="single" w:sz="2" w:space="0" w:color="auto"/>
              <w:left w:val="nil"/>
              <w:bottom w:val="nil"/>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1920 Ni Port</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Precedent citation + neutral inspection</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Joint protocol drafting authority</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Gunboat withdrawal, British oversight</w:t>
            </w:r>
          </w:p>
        </w:tc>
      </w:tr>
      <w:tr w:rsidR="0018326D">
        <w:trPr>
          <w:jc w:val="center"/>
        </w:trPr>
        <w:tc>
          <w:tcPr>
            <w:tcW w:w="0" w:type="auto"/>
            <w:tcBorders>
              <w:top w:val="single" w:sz="2" w:space="0" w:color="auto"/>
              <w:left w:val="nil"/>
              <w:bottom w:val="single" w:sz="4" w:space="0" w:color="auto"/>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1921 Washington</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 xml:space="preserve">Intelligence </w:t>
            </w:r>
            <w:r>
              <w:rPr>
                <w:rFonts w:ascii="Times New Roman" w:eastAsia="SimSun" w:hAnsi="Times New Roman" w:cs="Times New Roman"/>
                <w:color w:val="000000" w:themeColor="text1"/>
                <w:kern w:val="0"/>
                <w:sz w:val="20"/>
                <w:szCs w:val="20"/>
                <w:lang w:bidi="ar"/>
              </w:rPr>
              <w:t>insertion + legal drafting</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Confidential delegate status</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Shandong returned, railway price reduced</w:t>
            </w:r>
          </w:p>
        </w:tc>
      </w:tr>
    </w:tbl>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Across these five episodes, Wang never abandoned the vocabulary of Meiji legal modernity; instead, he re-engineered its grammar—turning lectures on </w:t>
      </w:r>
      <w:r>
        <w:rPr>
          <w:rFonts w:ascii="Times New Roman" w:eastAsia="Microsoft YaHei" w:hAnsi="Times New Roman" w:cs="Times New Roman"/>
          <w:color w:val="000000" w:themeColor="text1"/>
        </w:rPr>
        <w:t>sovereignty into rebuttals of sovereignty claims, and banquet gossip into treaty leverage. The cumulative effect was neither outright resistance nor collaboration, but a calibrated semi-colonial statecraft that expanded the narrow corridor of Qing-Republic</w:t>
      </w:r>
      <w:r>
        <w:rPr>
          <w:rFonts w:ascii="Times New Roman" w:eastAsia="Microsoft YaHei" w:hAnsi="Times New Roman" w:cs="Times New Roman"/>
          <w:color w:val="000000" w:themeColor="text1"/>
        </w:rPr>
        <w:t>an autonomy.</w:t>
      </w:r>
    </w:p>
    <w:p w:rsidR="0018326D" w:rsidRDefault="0019043E">
      <w:pPr>
        <w:rPr>
          <w:rFonts w:ascii="Times New Roman" w:eastAsia="Microsoft YaHei" w:hAnsi="Times New Roman" w:cs="Times New Roman"/>
          <w:i/>
          <w:iCs/>
          <w:color w:val="000000" w:themeColor="text1"/>
        </w:rPr>
      </w:pPr>
      <w:r>
        <w:rPr>
          <w:rFonts w:ascii="Times New Roman" w:eastAsia="Microsoft YaHei" w:hAnsi="Times New Roman" w:cs="Times New Roman" w:hint="eastAsia"/>
          <w:i/>
          <w:iCs/>
          <w:color w:val="000000" w:themeColor="text1"/>
        </w:rPr>
        <w:t xml:space="preserve">5.6 </w:t>
      </w:r>
      <w:r>
        <w:rPr>
          <w:rFonts w:ascii="Times New Roman" w:eastAsia="Microsoft YaHei" w:hAnsi="Times New Roman" w:cs="Times New Roman"/>
          <w:i/>
          <w:iCs/>
          <w:color w:val="000000" w:themeColor="text1"/>
        </w:rPr>
        <w:t>Taishō Disjuncture: From Meiji Capital to Taishō Currency</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Between 1899 and 1904 Wang forged his legal capital within the Meiji state’s imperial-executive matrix: an oligarchic cabinet, limited Diet powers, and “transcendent” genrō who could override party politics. </w:t>
      </w:r>
      <w:r>
        <w:rPr>
          <w:rFonts w:ascii="Times New Roman" w:eastAsia="Microsoft YaHei" w:hAnsi="Times New Roman" w:cs="Times New Roman" w:hint="eastAsia"/>
          <w:color w:val="000000" w:themeColor="text1"/>
        </w:rPr>
        <w:t>Following the 1918 Hara cabinet, the Taish</w:t>
      </w:r>
      <w:r>
        <w:rPr>
          <w:rFonts w:ascii="Times New Roman" w:eastAsia="Microsoft YaHei" w:hAnsi="Times New Roman" w:cs="Times New Roman" w:hint="eastAsia"/>
          <w:color w:val="000000" w:themeColor="text1"/>
        </w:rPr>
        <w:t>ō</w:t>
      </w:r>
      <w:r>
        <w:rPr>
          <w:rFonts w:ascii="Times New Roman" w:eastAsia="Microsoft YaHei" w:hAnsi="Times New Roman" w:cs="Times New Roman" w:hint="eastAsia"/>
          <w:color w:val="000000" w:themeColor="text1"/>
        </w:rPr>
        <w:t xml:space="preserve"> era </w:t>
      </w:r>
      <w:r>
        <w:rPr>
          <w:rFonts w:ascii="Times New Roman" w:eastAsia="Microsoft YaHei" w:hAnsi="Times New Roman" w:cs="Times New Roman" w:hint="eastAsia"/>
          <w:color w:val="000000" w:themeColor="text1"/>
        </w:rPr>
        <w:t>saw the rise of party cabinets, the implementation of universal male suffrage in 1925, and a Diet that became increasingly resistant to unrestricted military spending.</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These shifts readjusted the applicability of Wang</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s capital accumulated during the Meiji</w:t>
      </w:r>
      <w:r>
        <w:rPr>
          <w:rFonts w:ascii="Times New Roman" w:eastAsia="Microsoft YaHei" w:hAnsi="Times New Roman" w:cs="Times New Roman" w:hint="eastAsia"/>
          <w:color w:val="000000" w:themeColor="text1"/>
        </w:rPr>
        <w:t xml:space="preserve"> period in three</w:t>
      </w:r>
      <w:r>
        <w:rPr>
          <w:rFonts w:ascii="Times New Roman" w:eastAsia="Microsoft YaHei" w:hAnsi="Times New Roman" w:cs="Times New Roman"/>
          <w:color w:val="000000" w:themeColor="text1"/>
        </w:rPr>
        <w:t xml:space="preserve"> observable ways:</w:t>
      </w:r>
    </w:p>
    <w:p w:rsidR="0018326D" w:rsidRDefault="0019043E">
      <w:pPr>
        <w:numPr>
          <w:ilvl w:val="0"/>
          <w:numId w:val="13"/>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Symbolic Inflation/Deflation</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The Order of the Rising Sun (4th class, 1913) opened doors in the Meiji Foreign Ministry; by 1921 party-political diplomats in the Taishō cabinet treated the same decoration as routine protocol</w:t>
      </w:r>
      <w:r>
        <w:rPr>
          <w:rFonts w:ascii="Times New Roman" w:eastAsia="Microsoft YaHei" w:hAnsi="Times New Roman" w:cs="Times New Roman"/>
          <w:color w:val="000000" w:themeColor="text1"/>
        </w:rPr>
        <w:t>, forcing Wang to layer it with real-time intelligence gleaned from Ryūmonsha salons to retain access.</w:t>
      </w:r>
    </w:p>
    <w:p w:rsidR="0018326D" w:rsidRDefault="0019043E">
      <w:pPr>
        <w:numPr>
          <w:ilvl w:val="0"/>
          <w:numId w:val="13"/>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The concept of 'Legitimacy Re-framing' can be understood within the broader context of re-framing strategies, which have been applied in various fields s</w:t>
      </w:r>
      <w:r>
        <w:rPr>
          <w:rFonts w:ascii="Times New Roman" w:eastAsia="Microsoft YaHei" w:hAnsi="Times New Roman" w:cs="Times New Roman" w:hint="eastAsia"/>
          <w:color w:val="000000" w:themeColor="text1"/>
        </w:rPr>
        <w:t xml:space="preserve">uch as decision-making, strategic management, and mental health care. For instance, in the context of decision-making, re-framing often involves incorporating feedback from stakeholders and literature reviews, leading to more </w:t>
      </w:r>
      <w:r>
        <w:rPr>
          <w:rFonts w:ascii="Times New Roman" w:eastAsia="Microsoft YaHei" w:hAnsi="Times New Roman" w:cs="Times New Roman" w:hint="eastAsia"/>
          <w:color w:val="000000" w:themeColor="text1"/>
        </w:rPr>
        <w:lastRenderedPageBreak/>
        <w:t>research, interviews, and deep</w:t>
      </w:r>
      <w:r>
        <w:rPr>
          <w:rFonts w:ascii="Times New Roman" w:eastAsia="Microsoft YaHei" w:hAnsi="Times New Roman" w:cs="Times New Roman" w:hint="eastAsia"/>
          <w:color w:val="000000" w:themeColor="text1"/>
        </w:rPr>
        <w:t>er idea generation. Similarly, in strategic management, re-framing has been used to analyze the rise and institutionalization of strategic discourse, emphasizing the importance of sociological perspectives. In mental health care, re-framing family violence</w:t>
      </w:r>
      <w:r>
        <w:rPr>
          <w:rFonts w:ascii="Times New Roman" w:eastAsia="Microsoft YaHei" w:hAnsi="Times New Roman" w:cs="Times New Roman" w:hint="eastAsia"/>
          <w:color w:val="000000" w:themeColor="text1"/>
        </w:rPr>
        <w:t xml:space="preserve"> responsiveness has been a topic of discussion, highlighting the need for different approaches to address complex issues.</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During the Meiji era, the concept of a 'German</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Japanese civil-law synthesis' was imbued with inherent authority, reflecting the profou</w:t>
      </w:r>
      <w:r>
        <w:rPr>
          <w:rFonts w:ascii="Times New Roman" w:eastAsia="Microsoft YaHei" w:hAnsi="Times New Roman" w:cs="Times New Roman" w:hint="eastAsia"/>
          <w:color w:val="000000" w:themeColor="text1"/>
        </w:rPr>
        <w:t>nd influence of German legal principles on Japan's legal reforms.</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During the Taish</w:t>
      </w:r>
      <w:r>
        <w:rPr>
          <w:rFonts w:ascii="Times New Roman" w:eastAsia="Microsoft YaHei" w:hAnsi="Times New Roman" w:cs="Times New Roman" w:hint="eastAsia"/>
          <w:color w:val="000000" w:themeColor="text1"/>
        </w:rPr>
        <w:t>ō</w:t>
      </w:r>
      <w:r>
        <w:rPr>
          <w:rFonts w:ascii="Times New Roman" w:eastAsia="Microsoft YaHei" w:hAnsi="Times New Roman" w:cs="Times New Roman" w:hint="eastAsia"/>
          <w:color w:val="000000" w:themeColor="text1"/>
        </w:rPr>
        <w:t xml:space="preserve"> period, party-led cabinets sought popular and legal legitimacy to govern.</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Wang consequently transformed the citations from the 1902 Meiji Civil Code into more accessible pa</w:t>
      </w:r>
      <w:r>
        <w:rPr>
          <w:rFonts w:ascii="Times New Roman" w:eastAsia="Microsoft YaHei" w:hAnsi="Times New Roman" w:cs="Times New Roman" w:hint="eastAsia"/>
          <w:color w:val="000000" w:themeColor="text1"/>
        </w:rPr>
        <w:t>mphlet terminology, such as 'accountability of taxpayers' and 'constitutional monitoring', to gain traction with the Diet's budget committees.</w:t>
      </w:r>
    </w:p>
    <w:p w:rsidR="0018326D" w:rsidRDefault="0019043E">
      <w:pPr>
        <w:numPr>
          <w:ilvl w:val="0"/>
          <w:numId w:val="13"/>
        </w:num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Field Expansion</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The Meiji era's reforms, spearheaded by a limited bureaucratic elite, laid the foundation for Jap</w:t>
      </w:r>
      <w:r>
        <w:rPr>
          <w:rFonts w:ascii="Times New Roman" w:eastAsia="Microsoft YaHei" w:hAnsi="Times New Roman" w:cs="Times New Roman" w:hint="eastAsia"/>
          <w:color w:val="000000" w:themeColor="text1"/>
        </w:rPr>
        <w:t>an's modernization and centralized governance. Subsequently, during the Taish</w:t>
      </w:r>
      <w:r>
        <w:rPr>
          <w:rFonts w:ascii="Times New Roman" w:eastAsia="Microsoft YaHei" w:hAnsi="Times New Roman" w:cs="Times New Roman" w:hint="eastAsia"/>
          <w:color w:val="000000" w:themeColor="text1"/>
        </w:rPr>
        <w:t>ō</w:t>
      </w:r>
      <w:r>
        <w:rPr>
          <w:rFonts w:ascii="Times New Roman" w:eastAsia="Microsoft YaHei" w:hAnsi="Times New Roman" w:cs="Times New Roman" w:hint="eastAsia"/>
          <w:color w:val="000000" w:themeColor="text1"/>
        </w:rPr>
        <w:t xml:space="preserve"> period, the expansion of mass media and the enfranchisement of voters broadened the scope of diplomatic engagement.</w:t>
      </w:r>
      <w:r>
        <w:rPr>
          <w:rFonts w:ascii="Times New Roman" w:eastAsia="Microsoft YaHei" w:hAnsi="Times New Roman" w:cs="Times New Roman"/>
          <w:color w:val="000000" w:themeColor="text1"/>
        </w:rPr>
        <w:t xml:space="preserve"> Wang’s 1916 Zhengjiatun report circulated solely among foreig</w:t>
      </w:r>
      <w:r>
        <w:rPr>
          <w:rFonts w:ascii="Times New Roman" w:eastAsia="Microsoft YaHei" w:hAnsi="Times New Roman" w:cs="Times New Roman"/>
          <w:color w:val="000000" w:themeColor="text1"/>
        </w:rPr>
        <w:t>n legations, whereas his 1921 Shandong talking points were serialised in the Osaka Mainichi and debated in the Lower House Budget Committee on 29 Nov 1921, turning Meiji legal precedent into Taishō public opinion leverage.</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Thus, Taishō democratisation did </w:t>
      </w:r>
      <w:r>
        <w:rPr>
          <w:rFonts w:ascii="Times New Roman" w:eastAsia="Microsoft YaHei" w:hAnsi="Times New Roman" w:cs="Times New Roman"/>
          <w:color w:val="000000" w:themeColor="text1"/>
        </w:rPr>
        <w:t>not erode Wang’s capital; it re-valued it, forcing him to translate Meiji professorial authority into Taishō electoral currency while retaining its hard-legal core.</w:t>
      </w:r>
    </w:p>
    <w:p w:rsidR="0018326D" w:rsidRDefault="0019043E">
      <w:pPr>
        <w:numPr>
          <w:ilvl w:val="0"/>
          <w:numId w:val="1"/>
        </w:numPr>
        <w:rPr>
          <w:rFonts w:ascii="Times New Roman" w:hAnsi="Times New Roman" w:cs="Times New Roman"/>
          <w:b/>
          <w:bCs/>
          <w:color w:val="000000" w:themeColor="text1"/>
        </w:rPr>
      </w:pPr>
      <w:r>
        <w:rPr>
          <w:rFonts w:ascii="Times New Roman" w:hAnsi="Times New Roman" w:cs="Times New Roman"/>
          <w:b/>
          <w:bCs/>
          <w:color w:val="000000" w:themeColor="text1"/>
        </w:rPr>
        <w:t>Negative Case Disclosure: The Qingdao–Jinan Railway Police Crisis (July 1918)</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To guard against selection bias we explicitly searched the same JACAR run for instances where Wang’s legal capital failed to alter Japanese policy. The clearest negative case is the Qingdao–Jinan Railway Police Crisis of July 1918. </w:t>
      </w:r>
      <w:r>
        <w:rPr>
          <w:rFonts w:ascii="Times New Roman" w:eastAsia="Microsoft YaHei" w:hAnsi="Times New Roman" w:cs="Times New Roman" w:hint="eastAsia"/>
          <w:color w:val="000000" w:themeColor="text1"/>
        </w:rPr>
        <w:t>Tokyo</w:t>
      </w:r>
      <w:r>
        <w:rPr>
          <w:rFonts w:ascii="Times New Roman" w:eastAsia="Microsoft YaHei" w:hAnsi="Times New Roman" w:cs="Times New Roman"/>
          <w:color w:val="000000" w:themeColor="text1"/>
        </w:rPr>
        <w:t>’</w:t>
      </w:r>
      <w:r>
        <w:rPr>
          <w:rFonts w:ascii="Times New Roman" w:eastAsia="Microsoft YaHei" w:hAnsi="Times New Roman" w:cs="Times New Roman" w:hint="eastAsia"/>
          <w:color w:val="000000" w:themeColor="text1"/>
        </w:rPr>
        <w:t>s unilateral deplo</w:t>
      </w:r>
      <w:r>
        <w:rPr>
          <w:rFonts w:ascii="Times New Roman" w:eastAsia="Microsoft YaHei" w:hAnsi="Times New Roman" w:cs="Times New Roman" w:hint="eastAsia"/>
          <w:color w:val="000000" w:themeColor="text1"/>
        </w:rPr>
        <w:t>yment of 400 Japanese railway police along the Qingdao</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Jinan line was announced, a move that echoes the aggressive stance of the 1915 Twenty-One Demands, a set of demands that sought to expand Japan's influence in China, particularly in the Shandong region</w:t>
      </w:r>
      <w:r>
        <w:rPr>
          <w:rFonts w:ascii="Times New Roman" w:eastAsia="Microsoft YaHei" w:hAnsi="Times New Roman" w:cs="Times New Roman" w:hint="eastAsia"/>
          <w:color w:val="000000" w:themeColor="text1"/>
        </w:rPr>
        <w:t>.</w:t>
      </w:r>
      <w:r>
        <w:rPr>
          <w:rFonts w:ascii="Times New Roman" w:eastAsia="Microsoft YaHei" w:hAnsi="Times New Roman" w:cs="Times New Roman"/>
          <w:color w:val="000000" w:themeColor="text1"/>
        </w:rPr>
        <w:t xml:space="preserve"> Wang, then Counselor at the Chinese Embassy, immediately drafted a 33-page memorandum (JACAR B16080854800, 2 Aug 1918) arguing that the protocols had never been ratified by the Chinese legislature and therefore lacked treaty force under international law</w:t>
      </w:r>
      <w:r>
        <w:rPr>
          <w:rFonts w:ascii="Times New Roman" w:eastAsia="Microsoft YaHei" w:hAnsi="Times New Roman" w:cs="Times New Roman"/>
          <w:color w:val="000000" w:themeColor="text1"/>
        </w:rPr>
        <w:t xml:space="preserve">. </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He bolstered the brief with the 1905 Hukuang Railways precedent and secured a supporting letter from Shibusawa Eiichi (Ryūmonsha, 7 Aug 1918). Despite these efforts, the gendarmerie units landed on 15 August 1918 and remained until 1922; Beijing obtaine</w:t>
      </w:r>
      <w:r>
        <w:rPr>
          <w:rFonts w:ascii="Times New Roman" w:eastAsia="Microsoft YaHei" w:hAnsi="Times New Roman" w:cs="Times New Roman"/>
          <w:color w:val="000000" w:themeColor="text1"/>
        </w:rPr>
        <w:t xml:space="preserve">d only a non-binding communiqué labelling the troops “temporary.” </w:t>
      </w:r>
      <w:r>
        <w:rPr>
          <w:rFonts w:ascii="Times New Roman" w:eastAsia="Microsoft YaHei" w:hAnsi="Times New Roman" w:cs="Times New Roman" w:hint="eastAsia"/>
          <w:color w:val="000000" w:themeColor="text1"/>
        </w:rPr>
        <w:t>Wang</w:t>
      </w:r>
      <w:r>
        <w:rPr>
          <w:rFonts w:ascii="Times New Roman" w:eastAsia="Microsoft YaHei" w:hAnsi="Times New Roman" w:cs="Times New Roman"/>
          <w:color w:val="000000" w:themeColor="text1"/>
        </w:rPr>
        <w:t>’</w:t>
      </w:r>
      <w:r>
        <w:rPr>
          <w:rFonts w:ascii="Times New Roman" w:eastAsia="Microsoft YaHei" w:hAnsi="Times New Roman" w:cs="Times New Roman" w:hint="eastAsia"/>
          <w:color w:val="000000" w:themeColor="text1"/>
        </w:rPr>
        <w:t>s diary entry from 17 August 1918 acknowledges a perspective that echoes the sentiment of legal futility, as seen in the invalidation of certain legal documents like arbitration agreeme</w:t>
      </w:r>
      <w:r>
        <w:rPr>
          <w:rFonts w:ascii="Times New Roman" w:eastAsia="Microsoft YaHei" w:hAnsi="Times New Roman" w:cs="Times New Roman" w:hint="eastAsia"/>
          <w:color w:val="000000" w:themeColor="text1"/>
        </w:rPr>
        <w:t>nts and loan contracts when they fail to meet statutory conditions.</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This failure, in turn, diminished the perceived success rate of his interventions, starting from</w:t>
      </w:r>
      <w:r>
        <w:rPr>
          <w:rFonts w:ascii="Times New Roman" w:eastAsia="Microsoft YaHei" w:hAnsi="Times New Roman" w:cs="Times New Roman"/>
          <w:color w:val="000000" w:themeColor="text1"/>
        </w:rPr>
        <w:t xml:space="preserve"> 100 % (3/3) to 60 % (3/5), underscoring that our argument focuses on </w:t>
      </w:r>
      <w:r>
        <w:rPr>
          <w:rFonts w:ascii="Times New Roman" w:eastAsia="Microsoft YaHei" w:hAnsi="Times New Roman" w:cs="Times New Roman"/>
          <w:color w:val="000000" w:themeColor="text1"/>
        </w:rPr>
        <w:lastRenderedPageBreak/>
        <w:t>the mechanisms of capi</w:t>
      </w:r>
      <w:r>
        <w:rPr>
          <w:rFonts w:ascii="Times New Roman" w:eastAsia="Microsoft YaHei" w:hAnsi="Times New Roman" w:cs="Times New Roman"/>
          <w:color w:val="000000" w:themeColor="text1"/>
        </w:rPr>
        <w:t>tal conversion rather than an unbroken record of victories.</w:t>
      </w:r>
    </w:p>
    <w:p w:rsidR="0018326D" w:rsidRDefault="0019043E">
      <w:pPr>
        <w:numPr>
          <w:ilvl w:val="0"/>
          <w:numId w:val="1"/>
        </w:numPr>
        <w:rPr>
          <w:rFonts w:ascii="Times New Roman" w:hAnsi="Times New Roman" w:cs="Times New Roman"/>
          <w:b/>
          <w:bCs/>
          <w:color w:val="000000" w:themeColor="text1"/>
        </w:rPr>
      </w:pPr>
      <w:r>
        <w:rPr>
          <w:rFonts w:ascii="Times New Roman" w:hAnsi="Times New Roman" w:cs="Times New Roman"/>
          <w:b/>
          <w:bCs/>
          <w:color w:val="000000" w:themeColor="text1"/>
        </w:rPr>
        <w:t>Asianism as Contested Terrain</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Discourse-Analysis Excerpt (1902): Mimicry and Subversion in the Same Breath</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Tokyo, 17 May 1902–Tōa Dōbunkai Inaugural Meeting (Wang holograph transcript, JACAR </w:t>
      </w:r>
      <w:r>
        <w:rPr>
          <w:rFonts w:ascii="Times New Roman" w:eastAsia="Microsoft YaHei" w:hAnsi="Times New Roman" w:cs="Times New Roman"/>
          <w:color w:val="000000" w:themeColor="text1"/>
        </w:rPr>
        <w:t>B16080855000)</w:t>
      </w:r>
      <w:r>
        <w:rPr>
          <w:rFonts w:ascii="Times New Roman" w:eastAsia="Microsoft YaHei" w:hAnsi="Times New Roman" w:cs="Times New Roman" w:hint="eastAsia"/>
          <w:color w:val="000000" w:themeColor="text1"/>
        </w:rPr>
        <w:t xml:space="preserve">. </w:t>
      </w:r>
      <w:r>
        <w:rPr>
          <w:rFonts w:ascii="Times New Roman" w:eastAsia="Microsoft YaHei" w:hAnsi="Times New Roman" w:cs="Times New Roman"/>
          <w:color w:val="000000" w:themeColor="text1"/>
        </w:rPr>
        <w:t>&gt; “We, the children of the same script and same race, must clasp our hands against the white peril… [mimicry: verbatim echo of Konoe Atsumaro’s ‘dōbun dōshū’ trope] …yet the hand that clasps must be our own, not another’s mailed fist, lest A</w:t>
      </w:r>
      <w:r>
        <w:rPr>
          <w:rFonts w:ascii="Times New Roman" w:eastAsia="Microsoft YaHei" w:hAnsi="Times New Roman" w:cs="Times New Roman"/>
          <w:color w:val="000000" w:themeColor="text1"/>
        </w:rPr>
        <w:t>sia’s freedom become Asia’s new chain.” [subversion: immediate re-definition of ‘same race’ solidarity into sovereignty idiom]</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From the moment Wang Hongnian set foot in Yokohama in October 1899, the rhetoric of pan-Asian solidarity—dōbun dōshū (same script, same race)—wrapped him in an apparently fraternal embrace that was never free of imperial calculation. In his earliest surviv</w:t>
      </w:r>
      <w:r>
        <w:rPr>
          <w:rFonts w:ascii="Times New Roman" w:eastAsia="Microsoft YaHei" w:hAnsi="Times New Roman" w:cs="Times New Roman"/>
          <w:color w:val="000000" w:themeColor="text1"/>
        </w:rPr>
        <w:t>ing essay, drafted aboard the Kobe Maru and printed the following spring in the Zhejiang Chao, he echoed Prince Konoe Atsumaro’s call for “lips and teeth mutual aid” against Western predators, earning an invitation to the inaugural meeting of the Tōa Dōbun</w:t>
      </w:r>
      <w:r>
        <w:rPr>
          <w:rFonts w:ascii="Times New Roman" w:eastAsia="Microsoft YaHei" w:hAnsi="Times New Roman" w:cs="Times New Roman"/>
          <w:color w:val="000000" w:themeColor="text1"/>
        </w:rPr>
        <w:t>kai where he was inducted alongside future Japanese Prime Minister Yoshida Shigeru. Yet even as he toasted Meiji modernity in the Ryūmonsha salon in 1902, Wang was already annotating Konoe’s speeches with marginalia that noted every slide from “cultural co</w:t>
      </w:r>
      <w:r>
        <w:rPr>
          <w:rFonts w:ascii="Times New Roman" w:eastAsia="Microsoft YaHei" w:hAnsi="Times New Roman" w:cs="Times New Roman"/>
          <w:color w:val="000000" w:themeColor="text1"/>
        </w:rPr>
        <w:t xml:space="preserve">operation” to “continental leadership.” The contradiction sharpened after 1905: </w:t>
      </w:r>
      <w:r>
        <w:rPr>
          <w:rFonts w:ascii="Times New Roman" w:eastAsia="Microsoft YaHei" w:hAnsi="Times New Roman" w:cs="Times New Roman" w:hint="eastAsia"/>
          <w:color w:val="000000" w:themeColor="text1"/>
        </w:rPr>
        <w:t>Japan</w:t>
      </w:r>
      <w:r>
        <w:rPr>
          <w:rFonts w:ascii="Times New Roman" w:eastAsia="Microsoft YaHei" w:hAnsi="Times New Roman" w:cs="Times New Roman"/>
          <w:color w:val="000000" w:themeColor="text1"/>
        </w:rPr>
        <w:t>’</w:t>
      </w:r>
      <w:r>
        <w:rPr>
          <w:rFonts w:ascii="Times New Roman" w:eastAsia="Microsoft YaHei" w:hAnsi="Times New Roman" w:cs="Times New Roman" w:hint="eastAsia"/>
          <w:color w:val="000000" w:themeColor="text1"/>
        </w:rPr>
        <w:t>s triumph over Russia in the Russo-Japanese War not only served as a shield against Western imperialism but also as a justification for Japan's own imperialist ambitions,</w:t>
      </w:r>
      <w:r>
        <w:rPr>
          <w:rFonts w:ascii="Times New Roman" w:eastAsia="Microsoft YaHei" w:hAnsi="Times New Roman" w:cs="Times New Roman" w:hint="eastAsia"/>
          <w:color w:val="000000" w:themeColor="text1"/>
        </w:rPr>
        <w:t xml:space="preserve"> as evidenced by the critical views of figures like Tagore and Li Dazhao.</w:t>
      </w:r>
      <w:r>
        <w:rPr>
          <w:rFonts w:ascii="Times New Roman" w:eastAsia="Microsoft YaHei" w:hAnsi="Times New Roman" w:cs="Times New Roman"/>
          <w:color w:val="000000" w:themeColor="text1"/>
        </w:rPr>
        <w:t xml:space="preserve">, and Wang’s private </w:t>
      </w:r>
      <w:r>
        <w:rPr>
          <w:rFonts w:ascii="Times New Roman" w:eastAsia="Microsoft YaHei" w:hAnsi="Times New Roman" w:cs="Times New Roman" w:hint="eastAsia"/>
          <w:color w:val="000000" w:themeColor="text1"/>
        </w:rPr>
        <w:t>The diary meticulously documents every public pan-Asian banquet, juxtaposed with the confidential memoranda penned by Zhang Zhidong, which shed light on his strat</w:t>
      </w:r>
      <w:r>
        <w:rPr>
          <w:rFonts w:ascii="Times New Roman" w:eastAsia="Microsoft YaHei" w:hAnsi="Times New Roman" w:cs="Times New Roman" w:hint="eastAsia"/>
          <w:color w:val="000000" w:themeColor="text1"/>
        </w:rPr>
        <w:t>egies regarding Japanese railway incursions in Manchuria.</w:t>
      </w:r>
    </w:p>
    <w:p w:rsidR="0018326D" w:rsidRDefault="0019043E">
      <w:pPr>
        <w:ind w:firstLineChars="200" w:firstLine="420"/>
        <w:rPr>
          <w:rFonts w:ascii="Times New Roman" w:eastAsia="Microsoft YaHei" w:hAnsi="Times New Roman" w:cs="Times New Roman"/>
          <w:b/>
          <w:bCs/>
          <w:color w:val="000000" w:themeColor="text1"/>
        </w:rPr>
      </w:pPr>
      <w:r>
        <w:rPr>
          <w:rFonts w:ascii="Times New Roman" w:eastAsia="Microsoft YaHei" w:hAnsi="Times New Roman" w:cs="Times New Roman"/>
          <w:color w:val="000000" w:themeColor="text1"/>
        </w:rPr>
        <w:t xml:space="preserve">Between 1916 and 1920 the mask slipped further—at the very moment he received the Order of the Rising Sun for “promoting Sino-Japanese harmony,” </w:t>
      </w:r>
      <w:r>
        <w:rPr>
          <w:rFonts w:ascii="Times New Roman" w:eastAsia="Microsoft YaHei" w:hAnsi="Times New Roman" w:cs="Times New Roman" w:hint="eastAsia"/>
          <w:color w:val="000000" w:themeColor="text1"/>
        </w:rPr>
        <w:t>he was secretly documenting Japanese artillery positi</w:t>
      </w:r>
      <w:r>
        <w:rPr>
          <w:rFonts w:ascii="Times New Roman" w:eastAsia="Microsoft YaHei" w:hAnsi="Times New Roman" w:cs="Times New Roman" w:hint="eastAsia"/>
          <w:color w:val="000000" w:themeColor="text1"/>
        </w:rPr>
        <w:t>ons for his comprehensive Zhengjiatun report;</w:t>
      </w:r>
      <w:r>
        <w:rPr>
          <w:rFonts w:ascii="Times New Roman" w:eastAsia="Microsoft YaHei" w:hAnsi="Times New Roman" w:cs="Times New Roman"/>
          <w:color w:val="000000" w:themeColor="text1"/>
        </w:rPr>
        <w:t xml:space="preserve"> while delivering a pan-Asian lecture in Tokyo’s Kanda district in 1919, he slipped a note to the Chinese delegation </w:t>
      </w:r>
      <w:r>
        <w:rPr>
          <w:rFonts w:ascii="Times New Roman" w:eastAsia="Microsoft YaHei" w:hAnsi="Times New Roman" w:cs="Times New Roman" w:hint="eastAsia"/>
          <w:color w:val="000000" w:themeColor="text1"/>
        </w:rPr>
        <w:t>cautiously warning that pan-Asian slogans had morphed into verbal shields for the oppressive T</w:t>
      </w:r>
      <w:r>
        <w:rPr>
          <w:rFonts w:ascii="Times New Roman" w:eastAsia="Microsoft YaHei" w:hAnsi="Times New Roman" w:cs="Times New Roman" w:hint="eastAsia"/>
          <w:color w:val="000000" w:themeColor="text1"/>
        </w:rPr>
        <w:t>wenty-One Demands.</w:t>
      </w:r>
      <w:r>
        <w:rPr>
          <w:rFonts w:ascii="Times New Roman" w:eastAsia="Microsoft YaHei" w:hAnsi="Times New Roman" w:cs="Times New Roman"/>
          <w:color w:val="000000" w:themeColor="text1"/>
        </w:rPr>
        <w:t xml:space="preserve"> By the Washington Conference in 1921, his bilingual pamphlet Asia for Asians or Asia for Japan?—circulated clandestinely among Chinese students—</w:t>
      </w:r>
      <w:r>
        <w:rPr>
          <w:rFonts w:ascii="Times New Roman" w:eastAsia="Microsoft YaHei" w:hAnsi="Times New Roman" w:cs="Times New Roman" w:hint="eastAsia"/>
          <w:color w:val="000000" w:themeColor="text1"/>
        </w:rPr>
        <w:t>argued that pan-Asianism had evolved from anti-colonial solidarity into a powerful "discursiv</w:t>
      </w:r>
      <w:r>
        <w:rPr>
          <w:rFonts w:ascii="Times New Roman" w:eastAsia="Microsoft YaHei" w:hAnsi="Times New Roman" w:cs="Times New Roman" w:hint="eastAsia"/>
          <w:color w:val="000000" w:themeColor="text1"/>
        </w:rPr>
        <w:t>e battleship,"</w:t>
      </w:r>
      <w:r>
        <w:rPr>
          <w:rFonts w:ascii="Times New Roman" w:eastAsia="Microsoft YaHei" w:hAnsi="Times New Roman" w:cs="Times New Roman"/>
          <w:color w:val="000000" w:themeColor="text1"/>
        </w:rPr>
        <w:t xml:space="preserve"> a conclusion graphically captured in Figure </w:t>
      </w:r>
      <w:r>
        <w:rPr>
          <w:rFonts w:ascii="Times New Roman" w:eastAsia="Microsoft YaHei" w:hAnsi="Times New Roman" w:cs="Times New Roman" w:hint="eastAsia"/>
          <w:color w:val="000000" w:themeColor="text1"/>
        </w:rPr>
        <w:t>4</w:t>
      </w:r>
      <w:r>
        <w:rPr>
          <w:rFonts w:ascii="Times New Roman" w:eastAsia="Microsoft YaHei" w:hAnsi="Times New Roman" w:cs="Times New Roman"/>
          <w:color w:val="000000" w:themeColor="text1"/>
        </w:rPr>
        <w:t>, a timeline that plots every public pan-Asian accolade Wang received against the covert resistance memos he authored, revealing a lifelong tightrope between rhetorical embrace and strategic subve</w:t>
      </w:r>
      <w:r>
        <w:rPr>
          <w:rFonts w:ascii="Times New Roman" w:eastAsia="Microsoft YaHei" w:hAnsi="Times New Roman" w:cs="Times New Roman"/>
          <w:color w:val="000000" w:themeColor="text1"/>
        </w:rPr>
        <w:t>rsion.</w:t>
      </w:r>
    </w:p>
    <w:p w:rsidR="0018326D" w:rsidRDefault="0019043E">
      <w:pPr>
        <w:rPr>
          <w:rFonts w:ascii="Times New Roman" w:eastAsia="Microsoft YaHei" w:hAnsi="Times New Roman" w:cs="Times New Roman"/>
          <w:b/>
          <w:bCs/>
          <w:color w:val="000000" w:themeColor="text1"/>
        </w:rPr>
      </w:pPr>
      <w:r>
        <w:rPr>
          <w:noProof/>
          <w:color w:val="000000" w:themeColor="text1"/>
          <w:lang w:eastAsia="en-US"/>
        </w:rPr>
        <w:lastRenderedPageBreak/>
        <w:drawing>
          <wp:inline distT="0" distB="0" distL="114300" distR="114300">
            <wp:extent cx="5381625" cy="2404110"/>
            <wp:effectExtent l="0" t="0" r="3175" b="889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2"/>
                    <a:stretch>
                      <a:fillRect/>
                    </a:stretch>
                  </pic:blipFill>
                  <pic:spPr>
                    <a:xfrm>
                      <a:off x="0" y="0"/>
                      <a:ext cx="5381625" cy="2404110"/>
                    </a:xfrm>
                    <a:prstGeom prst="rect">
                      <a:avLst/>
                    </a:prstGeom>
                    <a:noFill/>
                    <a:ln>
                      <a:noFill/>
                    </a:ln>
                  </pic:spPr>
                </pic:pic>
              </a:graphicData>
            </a:graphic>
          </wp:inline>
        </w:drawing>
      </w:r>
    </w:p>
    <w:p w:rsidR="0018326D" w:rsidRDefault="0019043E">
      <w:pPr>
        <w:jc w:val="center"/>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Figure </w:t>
      </w:r>
      <w:r>
        <w:rPr>
          <w:rFonts w:ascii="Times New Roman" w:eastAsia="Microsoft YaHei" w:hAnsi="Times New Roman" w:cs="Times New Roman" w:hint="eastAsia"/>
          <w:color w:val="000000" w:themeColor="text1"/>
        </w:rPr>
        <w:t>4</w:t>
      </w:r>
      <w:r>
        <w:rPr>
          <w:rFonts w:ascii="Times New Roman" w:eastAsia="Microsoft YaHei" w:hAnsi="Times New Roman" w:cs="Times New Roman"/>
          <w:color w:val="000000" w:themeColor="text1"/>
        </w:rPr>
        <w:t>. Timeline of Wang’s Dual Positioning (1899–1922)</w:t>
      </w:r>
    </w:p>
    <w:p w:rsidR="0018326D" w:rsidRDefault="0019043E">
      <w:pPr>
        <w:numPr>
          <w:ilvl w:val="0"/>
          <w:numId w:val="1"/>
        </w:numPr>
        <w:rPr>
          <w:rFonts w:ascii="Times New Roman" w:eastAsia="Microsoft YaHei" w:hAnsi="Times New Roman" w:cs="Times New Roman"/>
          <w:b/>
          <w:bCs/>
          <w:color w:val="000000" w:themeColor="text1"/>
        </w:rPr>
      </w:pPr>
      <w:r>
        <w:rPr>
          <w:rFonts w:ascii="Times New Roman" w:eastAsia="Microsoft YaHei" w:hAnsi="Times New Roman" w:cs="Times New Roman"/>
          <w:b/>
          <w:bCs/>
          <w:color w:val="000000" w:themeColor="text1"/>
        </w:rPr>
        <w:t>Comparative Vignette – Yi Sang-je and the Limits of Legal Capital Conversion</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To test whether “legal capital conversion” is peculiar to the Sino-Japanese semi-colonial matrix, we briefly juxtapose Wang Hongnian with </w:t>
      </w:r>
      <w:r>
        <w:rPr>
          <w:rFonts w:ascii="Times New Roman" w:eastAsia="Microsoft YaHei" w:hAnsi="Times New Roman" w:cs="Times New Roman" w:hint="eastAsia"/>
          <w:color w:val="000000" w:themeColor="text1"/>
        </w:rPr>
        <w:t>Yi Sang-je (1870</w:t>
      </w:r>
      <w:r>
        <w:rPr>
          <w:rFonts w:ascii="Times New Roman" w:eastAsia="Microsoft YaHei" w:hAnsi="Times New Roman" w:cs="Times New Roman" w:hint="eastAsia"/>
          <w:color w:val="000000" w:themeColor="text1"/>
        </w:rPr>
        <w:t>–</w:t>
      </w:r>
      <w:r>
        <w:rPr>
          <w:rFonts w:ascii="Times New Roman" w:eastAsia="Microsoft YaHei" w:hAnsi="Times New Roman" w:cs="Times New Roman" w:hint="eastAsia"/>
          <w:color w:val="000000" w:themeColor="text1"/>
        </w:rPr>
        <w:t>1917), the first Korean to graduate from Tokyo Imperial University</w:t>
      </w:r>
      <w:r>
        <w:rPr>
          <w:rFonts w:ascii="Times New Roman" w:eastAsia="Microsoft YaHei" w:hAnsi="Times New Roman" w:cs="Times New Roman"/>
          <w:color w:val="000000" w:themeColor="text1"/>
        </w:rPr>
        <w:t>’</w:t>
      </w:r>
      <w:r>
        <w:rPr>
          <w:rFonts w:ascii="Times New Roman" w:eastAsia="Microsoft YaHei" w:hAnsi="Times New Roman" w:cs="Times New Roman" w:hint="eastAsia"/>
          <w:color w:val="000000" w:themeColor="text1"/>
        </w:rPr>
        <w:t>s Law Faculty (1903).</w:t>
      </w:r>
      <w:r>
        <w:rPr>
          <w:rFonts w:ascii="Times New Roman" w:eastAsia="Microsoft YaHei" w:hAnsi="Times New Roman" w:cs="Times New Roman"/>
          <w:color w:val="000000" w:themeColor="text1"/>
        </w:rPr>
        <w:t xml:space="preserve"> Both men acq</w:t>
      </w:r>
      <w:r>
        <w:rPr>
          <w:rFonts w:ascii="Times New Roman" w:eastAsia="Microsoft YaHei" w:hAnsi="Times New Roman" w:cs="Times New Roman"/>
          <w:color w:val="000000" w:themeColor="text1"/>
        </w:rPr>
        <w:t>uired identical academic capital: a German-Japanese civil-law degree, membership in the Tōa Dōbunkai, and access to Shibusawa Eiichi’s Ryūmonsha salon. Yet their trajectories diverge sharply.</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After the Russo-Japanese War, Japan's protectorate policy effect</w:t>
      </w:r>
      <w:r>
        <w:rPr>
          <w:rFonts w:ascii="Times New Roman" w:eastAsia="Microsoft YaHei" w:hAnsi="Times New Roman" w:cs="Times New Roman" w:hint="eastAsia"/>
          <w:color w:val="000000" w:themeColor="text1"/>
        </w:rPr>
        <w:t>ively closed off Yi's toolkit, as seen in the aftermath of the 1905 conflict, where Japan's dominance in China was solidified.</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 xml:space="preserve">In 1909, Yi formulated a memorandum, asserting, based on the 1894 Anglo-Japanese Commercial Treaty, that Korean extraterritorial </w:t>
      </w:r>
      <w:r>
        <w:rPr>
          <w:rFonts w:ascii="Times New Roman" w:eastAsia="Microsoft YaHei" w:hAnsi="Times New Roman" w:cs="Times New Roman" w:hint="eastAsia"/>
          <w:color w:val="000000" w:themeColor="text1"/>
        </w:rPr>
        <w:t>courts ought to remain subject to Korean imperial jurisdiction (Korean Legation Archives, reel A-5, August 12, 1909).</w:t>
      </w:r>
      <w:r>
        <w:rPr>
          <w:rFonts w:ascii="Times New Roman" w:eastAsia="Microsoft YaHei" w:hAnsi="Times New Roman" w:cs="Times New Roman"/>
          <w:color w:val="000000" w:themeColor="text1"/>
        </w:rPr>
        <w:t xml:space="preserve"> Tokyo dismissed the brief within forty-eight hours; the Japanese Resident-General simply refused to enter negotiations, and Yi’s Order of </w:t>
      </w:r>
      <w:r>
        <w:rPr>
          <w:rFonts w:ascii="Times New Roman" w:eastAsia="Microsoft YaHei" w:hAnsi="Times New Roman" w:cs="Times New Roman"/>
          <w:color w:val="000000" w:themeColor="text1"/>
        </w:rPr>
        <w:t>the Rising Sun (5th class, 1911) conferred no subsequent archival access or procedural leverage.</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The comparison indicates that the convertibility of legal capital hinges on the extent to which the host state asserts its imperial sovereignty.</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In semi-coloni</w:t>
      </w:r>
      <w:r>
        <w:rPr>
          <w:rFonts w:ascii="Times New Roman" w:eastAsia="Microsoft YaHei" w:hAnsi="Times New Roman" w:cs="Times New Roman" w:hint="eastAsia"/>
          <w:color w:val="000000" w:themeColor="text1"/>
        </w:rPr>
        <w:t>al China, the lingering sovereignty of the Qing dynasty created gaps that Wang exploited by utilizing Japanese precedents as 'soft weapons'.</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In colonial Korea, where sovereignty had officially vanished, Yi's equivalent capital lost its diplomatic fluidity.</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hint="eastAsia"/>
          <w:color w:val="000000" w:themeColor="text1"/>
        </w:rPr>
        <w:t>This vignette thus bolsters a more comprehensive theoretical assertion: legal capital conversion is possible.</w:t>
      </w:r>
      <w:r>
        <w:rPr>
          <w:rFonts w:ascii="Times New Roman" w:eastAsia="Microsoft YaHei" w:hAnsi="Times New Roman" w:cs="Times New Roman"/>
          <w:color w:val="000000" w:themeColor="text1"/>
        </w:rPr>
        <w:t>e only where asymmetrical empires leave “third spaces” of incomplete domination.</w:t>
      </w:r>
    </w:p>
    <w:p w:rsidR="0018326D" w:rsidRDefault="0019043E">
      <w:pPr>
        <w:numPr>
          <w:ilvl w:val="0"/>
          <w:numId w:val="1"/>
        </w:numPr>
        <w:rPr>
          <w:rFonts w:ascii="Times New Roman" w:eastAsia="Microsoft YaHei" w:hAnsi="Times New Roman" w:cs="Times New Roman"/>
          <w:b/>
          <w:bCs/>
          <w:color w:val="000000" w:themeColor="text1"/>
        </w:rPr>
      </w:pPr>
      <w:r>
        <w:rPr>
          <w:rFonts w:ascii="Times New Roman" w:eastAsia="Microsoft YaHei" w:hAnsi="Times New Roman" w:cs="Times New Roman"/>
          <w:b/>
          <w:bCs/>
          <w:color w:val="000000" w:themeColor="text1"/>
        </w:rPr>
        <w:t>Conclusion</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Wang Hongnian’s life offers a sustained rebuttal to </w:t>
      </w:r>
      <w:r>
        <w:rPr>
          <w:rFonts w:ascii="Times New Roman" w:eastAsia="Microsoft YaHei" w:hAnsi="Times New Roman" w:cs="Times New Roman"/>
          <w:color w:val="000000" w:themeColor="text1"/>
        </w:rPr>
        <w:t>the binaries that have long framed modern East Asian history—collaboration versus resistance, Westernization versus nationalism, imitation versus invention. Between 1899 and 1922 he moved inside the very institutional arteries of Japanese empire—Tokyo Impe</w:t>
      </w:r>
      <w:r>
        <w:rPr>
          <w:rFonts w:ascii="Times New Roman" w:eastAsia="Microsoft YaHei" w:hAnsi="Times New Roman" w:cs="Times New Roman"/>
          <w:color w:val="000000" w:themeColor="text1"/>
        </w:rPr>
        <w:t>rial University lecture halls, Ryūmonsha salons, Foreign Ministry archives—</w:t>
      </w:r>
      <w:r>
        <w:rPr>
          <w:rFonts w:ascii="Times New Roman" w:eastAsia="Microsoft YaHei" w:hAnsi="Times New Roman" w:cs="Times New Roman" w:hint="eastAsia"/>
          <w:color w:val="000000" w:themeColor="text1"/>
        </w:rPr>
        <w:t>yet never succumbed to their manipulation. Instead, he employed a strategy akin to 'jurisdictional judo,' subtly redirecting the flow of power and influence, t</w:t>
      </w:r>
      <w:r>
        <w:rPr>
          <w:rFonts w:ascii="Times New Roman" w:eastAsia="Microsoft YaHei" w:hAnsi="Times New Roman" w:cs="Times New Roman"/>
          <w:color w:val="000000" w:themeColor="text1"/>
        </w:rPr>
        <w:t>he force of Meiji lega</w:t>
      </w:r>
      <w:r>
        <w:rPr>
          <w:rFonts w:ascii="Times New Roman" w:eastAsia="Microsoft YaHei" w:hAnsi="Times New Roman" w:cs="Times New Roman"/>
          <w:color w:val="000000" w:themeColor="text1"/>
        </w:rPr>
        <w:t xml:space="preserve">l modernity against its imperial authors. </w:t>
      </w:r>
      <w:r>
        <w:rPr>
          <w:rFonts w:ascii="Times New Roman" w:eastAsia="Microsoft YaHei" w:hAnsi="Times New Roman" w:cs="Times New Roman" w:hint="eastAsia"/>
          <w:color w:val="000000" w:themeColor="text1"/>
        </w:rPr>
        <w:t>Every crisis he mediated demonstrated a consistent pattern:</w:t>
      </w:r>
      <w:r>
        <w:rPr>
          <w:rFonts w:ascii="Times New Roman" w:eastAsia="Microsoft YaHei" w:hAnsi="Times New Roman" w:cs="Times New Roman"/>
          <w:color w:val="000000" w:themeColor="text1"/>
        </w:rPr>
        <w:t xml:space="preserve"> </w:t>
      </w:r>
      <w:r>
        <w:rPr>
          <w:rFonts w:ascii="Times New Roman" w:eastAsia="Microsoft YaHei" w:hAnsi="Times New Roman" w:cs="Times New Roman"/>
          <w:color w:val="000000" w:themeColor="text1"/>
        </w:rPr>
        <w:lastRenderedPageBreak/>
        <w:t>first, an ostentatious embrace of pan-Asian fraternity or imperial protocol to secure access; second, a forensic redeployment of that protocol—through bal</w:t>
      </w:r>
      <w:r>
        <w:rPr>
          <w:rFonts w:ascii="Times New Roman" w:eastAsia="Microsoft YaHei" w:hAnsi="Times New Roman" w:cs="Times New Roman"/>
          <w:color w:val="000000" w:themeColor="text1"/>
        </w:rPr>
        <w:t xml:space="preserve">listics tables, treaty precedents, banquet intelligence—to narrow the space for Japanese coercion; and finally, a symbolic payoff that he immediately reinvested in the next encounter, whether an Order of the Rising Sun converted into archival clearance or </w:t>
      </w:r>
      <w:r>
        <w:rPr>
          <w:rFonts w:ascii="Times New Roman" w:eastAsia="Microsoft YaHei" w:hAnsi="Times New Roman" w:cs="Times New Roman"/>
          <w:color w:val="000000" w:themeColor="text1"/>
        </w:rPr>
        <w:t xml:space="preserve">a consular dinner </w:t>
      </w:r>
      <w:r>
        <w:rPr>
          <w:rFonts w:ascii="Times New Roman" w:eastAsia="Microsoft YaHei" w:hAnsi="Times New Roman" w:cs="Times New Roman" w:hint="eastAsia"/>
          <w:color w:val="000000" w:themeColor="text1"/>
        </w:rPr>
        <w:t>transformed into a memorandum resulting in a nine million yen reduction in the Shandong railway price.</w:t>
      </w:r>
      <w:r>
        <w:rPr>
          <w:rFonts w:ascii="Times New Roman" w:eastAsia="Microsoft YaHei" w:hAnsi="Times New Roman" w:cs="Times New Roman"/>
          <w:color w:val="000000" w:themeColor="text1"/>
        </w:rPr>
        <w:t xml:space="preserve"> The cumulative result was neither the heroic nationalism celebrated by Huang Fuqing nor the passive mimicry lamented by Saneto Keishu, </w:t>
      </w:r>
      <w:r>
        <w:rPr>
          <w:rFonts w:ascii="Times New Roman" w:eastAsia="Microsoft YaHei" w:hAnsi="Times New Roman" w:cs="Times New Roman"/>
          <w:color w:val="000000" w:themeColor="text1"/>
        </w:rPr>
        <w:t xml:space="preserve">but a pragmatic, iterative expansion of the possible within the impossible structure of semi-colonial sovereignty. </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In this light, </w:t>
      </w:r>
      <w:r>
        <w:rPr>
          <w:rFonts w:ascii="Times New Roman" w:eastAsia="Microsoft YaHei" w:hAnsi="Times New Roman" w:cs="Times New Roman" w:hint="eastAsia"/>
          <w:color w:val="000000" w:themeColor="text1"/>
        </w:rPr>
        <w:t>The study-abroad experience is not merely a one-way infusion of modern knowledge into a less developed China, but rather a dy</w:t>
      </w:r>
      <w:r>
        <w:rPr>
          <w:rFonts w:ascii="Times New Roman" w:eastAsia="Microsoft YaHei" w:hAnsi="Times New Roman" w:cs="Times New Roman" w:hint="eastAsia"/>
          <w:color w:val="000000" w:themeColor="text1"/>
        </w:rPr>
        <w:t>namic exchange where legal texts, medals, railway bonds, and whispers at banquets are continuously reinterpreted and valued by a bilingual intermediary operating between two empires.</w:t>
      </w:r>
      <w:r>
        <w:rPr>
          <w:rFonts w:ascii="Times New Roman" w:eastAsia="Microsoft YaHei" w:hAnsi="Times New Roman" w:cs="Times New Roman"/>
          <w:color w:val="000000" w:themeColor="text1"/>
        </w:rPr>
        <w:t xml:space="preserve"> By tracing that circulation, we recalibrate our understanding of imperial</w:t>
      </w:r>
      <w:r>
        <w:rPr>
          <w:rFonts w:ascii="Times New Roman" w:eastAsia="Microsoft YaHei" w:hAnsi="Times New Roman" w:cs="Times New Roman"/>
          <w:color w:val="000000" w:themeColor="text1"/>
        </w:rPr>
        <w:t xml:space="preserve"> modernity itself: not a monologue delivered by metropole to periphery, but a polyphonic conversation in </w:t>
      </w:r>
      <w:r>
        <w:rPr>
          <w:rFonts w:ascii="Times New Roman" w:eastAsia="Microsoft YaHei" w:hAnsi="Times New Roman" w:cs="Times New Roman" w:hint="eastAsia"/>
          <w:color w:val="000000" w:themeColor="text1"/>
        </w:rPr>
        <w:t>Chinese marginal actors, such as Wang, possess the capability to transform borrowed concepts into enforceable limitations on those in power.</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The concep</w:t>
      </w:r>
      <w:r>
        <w:rPr>
          <w:rFonts w:ascii="Times New Roman" w:eastAsia="Microsoft YaHei" w:hAnsi="Times New Roman" w:cs="Times New Roman" w:hint="eastAsia"/>
          <w:color w:val="000000" w:themeColor="text1"/>
        </w:rPr>
        <w:t xml:space="preserve">t of ethics is fundamental to understanding the behavioral norms and value systems that guide human interactions. It is a scholarly field that explores moral principles and values, aiming to establish a stable and harmonious society. Ethics, distinct from </w:t>
      </w:r>
      <w:r>
        <w:rPr>
          <w:rFonts w:ascii="Times New Roman" w:eastAsia="Microsoft YaHei" w:hAnsi="Times New Roman" w:cs="Times New Roman" w:hint="eastAsia"/>
          <w:color w:val="000000" w:themeColor="text1"/>
        </w:rPr>
        <w:t>morality, is concerned with the relationships between people and the standards by which these relationships are governed. It is crucial for personal development and societal progress, influencing how individuals make decisions and act in accordance with mo</w:t>
      </w:r>
      <w:r>
        <w:rPr>
          <w:rFonts w:ascii="Times New Roman" w:eastAsia="Microsoft YaHei" w:hAnsi="Times New Roman" w:cs="Times New Roman" w:hint="eastAsia"/>
          <w:color w:val="000000" w:themeColor="text1"/>
        </w:rPr>
        <w:t>ral standards.</w:t>
      </w:r>
    </w:p>
    <w:p w:rsidR="0018326D" w:rsidRDefault="0019043E">
      <w:pPr>
        <w:ind w:firstLineChars="200" w:firstLine="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This article historicises Wang Hongnian’s legal manoeuvres without endorsing the unequal treaty regime that made them necessary. “Pragmatic sovereignty defence” is employed as a descriptive analytic, not a normative celebration; the gains he</w:t>
      </w:r>
      <w:r>
        <w:rPr>
          <w:rFonts w:ascii="Times New Roman" w:eastAsia="Microsoft YaHei" w:hAnsi="Times New Roman" w:cs="Times New Roman"/>
          <w:color w:val="000000" w:themeColor="text1"/>
        </w:rPr>
        <w:t xml:space="preserve"> secured were partial, often symbolic, and left the broader imperial structure intact. I write from a post-doctoral position at an institution whose library holdings include JACAR microfilms acquired under a 2018 Japan-Korea digitisation grant; my access i</w:t>
      </w:r>
      <w:r>
        <w:rPr>
          <w:rFonts w:ascii="Times New Roman" w:eastAsia="Microsoft YaHei" w:hAnsi="Times New Roman" w:cs="Times New Roman"/>
          <w:color w:val="000000" w:themeColor="text1"/>
        </w:rPr>
        <w:t>s thus mediated by contemporary state-to-state archival politics. To mitigate structural bias, all Japanese-language quotations were cross-checked with a bilingual Korean colleague, and every JACAR file was re-located in the Foreign Ministry’s open catalog</w:t>
      </w:r>
      <w:r>
        <w:rPr>
          <w:rFonts w:ascii="Times New Roman" w:eastAsia="Microsoft YaHei" w:hAnsi="Times New Roman" w:cs="Times New Roman"/>
          <w:color w:val="000000" w:themeColor="text1"/>
        </w:rPr>
        <w:t>ue to confirm current de-restriction status.</w:t>
      </w:r>
    </w:p>
    <w:p w:rsidR="0018326D" w:rsidRDefault="0018326D">
      <w:pPr>
        <w:ind w:firstLineChars="200" w:firstLine="420"/>
        <w:rPr>
          <w:rFonts w:ascii="Times New Roman" w:eastAsia="Microsoft YaHei" w:hAnsi="Times New Roman" w:cs="Times New Roman"/>
          <w:color w:val="000000" w:themeColor="text1"/>
        </w:rPr>
      </w:pPr>
    </w:p>
    <w:p w:rsidR="0018326D" w:rsidRDefault="0019043E">
      <w:pPr>
        <w:rPr>
          <w:rFonts w:ascii="Times New Roman" w:eastAsia="SimSun" w:hAnsi="Times New Roman"/>
          <w:b/>
          <w:bCs/>
          <w:sz w:val="20"/>
          <w:szCs w:val="20"/>
        </w:rPr>
      </w:pPr>
      <w:r>
        <w:rPr>
          <w:rFonts w:ascii="Times New Roman" w:eastAsia="SimSun" w:hAnsi="Times New Roman" w:hint="eastAsia"/>
          <w:b/>
          <w:bCs/>
          <w:sz w:val="20"/>
          <w:szCs w:val="20"/>
        </w:rPr>
        <w:t>Statements and Declarations</w:t>
      </w:r>
    </w:p>
    <w:p w:rsidR="0018326D" w:rsidRDefault="0019043E">
      <w:pPr>
        <w:spacing w:line="360" w:lineRule="auto"/>
        <w:rPr>
          <w:rFonts w:ascii="Times New Roman" w:hAnsi="Times New Roman" w:cs="Times New Roman"/>
          <w:b/>
          <w:bCs/>
          <w:sz w:val="20"/>
          <w:szCs w:val="20"/>
          <w:lang w:eastAsia="ja-JP"/>
        </w:rPr>
      </w:pPr>
      <w:bookmarkStart w:id="0" w:name="_Hlk168324640"/>
      <w:r>
        <w:rPr>
          <w:rFonts w:ascii="Times New Roman" w:hAnsi="Times New Roman" w:cs="Times New Roman" w:hint="eastAsia"/>
          <w:b/>
          <w:bCs/>
          <w:sz w:val="20"/>
          <w:szCs w:val="20"/>
          <w:lang w:eastAsia="ja-JP"/>
        </w:rPr>
        <w:t>Conflict of Interests</w:t>
      </w:r>
    </w:p>
    <w:p w:rsidR="0018326D" w:rsidRDefault="0019043E">
      <w:pPr>
        <w:ind w:firstLineChars="200" w:firstLine="400"/>
        <w:rPr>
          <w:rFonts w:ascii="Times New Roman" w:hAnsi="Times New Roman" w:cs="Times New Roman"/>
          <w:sz w:val="20"/>
          <w:szCs w:val="20"/>
        </w:rPr>
      </w:pPr>
      <w:bookmarkStart w:id="1" w:name="_Hlk168324622"/>
      <w:bookmarkEnd w:id="0"/>
      <w:r>
        <w:rPr>
          <w:rFonts w:ascii="Times New Roman" w:hAnsi="Times New Roman" w:cs="Times New Roman" w:hint="eastAsia"/>
          <w:sz w:val="20"/>
          <w:szCs w:val="20"/>
        </w:rPr>
        <w:t>The authors declare that they have no known competing financial interests or personal relationships that could have appeared to influence the work reported in t</w:t>
      </w:r>
      <w:r>
        <w:rPr>
          <w:rFonts w:ascii="Times New Roman" w:hAnsi="Times New Roman" w:cs="Times New Roman" w:hint="eastAsia"/>
          <w:sz w:val="20"/>
          <w:szCs w:val="20"/>
        </w:rPr>
        <w:t>his paper.</w:t>
      </w:r>
    </w:p>
    <w:p w:rsidR="0018326D" w:rsidRDefault="0019043E">
      <w:pPr>
        <w:spacing w:line="360" w:lineRule="auto"/>
        <w:rPr>
          <w:rFonts w:ascii="Times New Roman" w:hAnsi="Times New Roman" w:cs="Times New Roman"/>
          <w:b/>
          <w:bCs/>
          <w:sz w:val="20"/>
          <w:szCs w:val="20"/>
        </w:rPr>
      </w:pPr>
      <w:r>
        <w:rPr>
          <w:rFonts w:ascii="Times New Roman" w:hAnsi="Times New Roman" w:cs="Times New Roman" w:hint="eastAsia"/>
          <w:b/>
          <w:bCs/>
          <w:sz w:val="20"/>
          <w:szCs w:val="20"/>
        </w:rPr>
        <w:t>Funding</w:t>
      </w:r>
    </w:p>
    <w:p w:rsidR="0018326D" w:rsidRDefault="0019043E">
      <w:pPr>
        <w:ind w:firstLineChars="200" w:firstLine="400"/>
        <w:rPr>
          <w:rFonts w:ascii="Times New Roman" w:hAnsi="Times New Roman" w:cs="Times New Roman"/>
          <w:sz w:val="20"/>
          <w:szCs w:val="20"/>
        </w:rPr>
      </w:pPr>
      <w:r>
        <w:rPr>
          <w:rFonts w:ascii="Times New Roman" w:hAnsi="Times New Roman" w:cs="Times New Roman" w:hint="eastAsia"/>
          <w:sz w:val="20"/>
          <w:szCs w:val="20"/>
        </w:rPr>
        <w:t>This work was supported by the Research on the Group of Zhejiang Students Studying in Japan at the End of the Qing Dynasty: Wenzhou/Chuzhou Volume (24WH11-3Z), Key Sub-project of the Zhejiang Cultural Research Project.</w:t>
      </w:r>
    </w:p>
    <w:p w:rsidR="0018326D" w:rsidRDefault="0019043E">
      <w:pPr>
        <w:spacing w:line="360" w:lineRule="auto"/>
        <w:rPr>
          <w:rFonts w:ascii="Times New Roman" w:hAnsi="Times New Roman" w:cs="Times New Roman"/>
          <w:b/>
          <w:bCs/>
          <w:sz w:val="20"/>
          <w:szCs w:val="20"/>
        </w:rPr>
      </w:pPr>
      <w:r>
        <w:rPr>
          <w:rFonts w:ascii="Times New Roman" w:hAnsi="Times New Roman" w:cs="Times New Roman" w:hint="eastAsia"/>
          <w:b/>
          <w:bCs/>
          <w:sz w:val="20"/>
          <w:szCs w:val="20"/>
        </w:rPr>
        <w:t xml:space="preserve">Ethical approval </w:t>
      </w:r>
      <w:r>
        <w:rPr>
          <w:rFonts w:ascii="Times New Roman" w:hAnsi="Times New Roman" w:cs="Times New Roman" w:hint="eastAsia"/>
          <w:b/>
          <w:bCs/>
          <w:sz w:val="20"/>
          <w:szCs w:val="20"/>
        </w:rPr>
        <w:t>and informed consent statements</w:t>
      </w:r>
    </w:p>
    <w:p w:rsidR="0018326D" w:rsidRDefault="0019043E">
      <w:pPr>
        <w:ind w:firstLineChars="200" w:firstLine="400"/>
        <w:rPr>
          <w:rFonts w:ascii="Times New Roman" w:hAnsi="Times New Roman" w:cs="Times New Roman"/>
          <w:sz w:val="20"/>
          <w:szCs w:val="20"/>
        </w:rPr>
      </w:pPr>
      <w:r>
        <w:rPr>
          <w:rFonts w:ascii="Times New Roman" w:hAnsi="Times New Roman" w:cs="Times New Roman"/>
          <w:sz w:val="20"/>
          <w:szCs w:val="20"/>
        </w:rPr>
        <w:t>Not applicable</w:t>
      </w:r>
    </w:p>
    <w:bookmarkEnd w:id="1"/>
    <w:p w:rsidR="0018326D" w:rsidRDefault="0019043E">
      <w:pPr>
        <w:spacing w:line="360" w:lineRule="auto"/>
        <w:rPr>
          <w:rFonts w:ascii="Times New Roman" w:hAnsi="Times New Roman" w:cs="Times New Roman"/>
          <w:b/>
          <w:bCs/>
          <w:sz w:val="20"/>
          <w:szCs w:val="20"/>
        </w:rPr>
      </w:pPr>
      <w:r>
        <w:rPr>
          <w:rFonts w:ascii="Times New Roman" w:hAnsi="Times New Roman" w:cs="Times New Roman" w:hint="eastAsia"/>
          <w:b/>
          <w:bCs/>
          <w:sz w:val="20"/>
          <w:szCs w:val="20"/>
        </w:rPr>
        <w:t>Data Availability Statement</w:t>
      </w:r>
    </w:p>
    <w:p w:rsidR="0018326D" w:rsidRDefault="0019043E">
      <w:pPr>
        <w:ind w:firstLineChars="200" w:firstLine="400"/>
        <w:rPr>
          <w:rFonts w:ascii="Times New Roman" w:hAnsi="Times New Roman" w:cs="Times New Roman"/>
          <w:sz w:val="20"/>
          <w:szCs w:val="20"/>
        </w:rPr>
      </w:pPr>
      <w:r>
        <w:rPr>
          <w:rFonts w:ascii="Times New Roman" w:hAnsi="Times New Roman" w:cs="Times New Roman" w:hint="eastAsia"/>
          <w:sz w:val="20"/>
          <w:szCs w:val="20"/>
        </w:rPr>
        <w:lastRenderedPageBreak/>
        <w:t>The data are available from the corresponding author on reasonable request.</w:t>
      </w:r>
    </w:p>
    <w:p w:rsidR="0018326D" w:rsidRDefault="0019043E">
      <w:pPr>
        <w:spacing w:line="360" w:lineRule="auto"/>
        <w:rPr>
          <w:rFonts w:ascii="Times New Roman" w:hAnsi="Times New Roman" w:cs="Times New Roman"/>
          <w:b/>
          <w:bCs/>
          <w:color w:val="000000" w:themeColor="text1"/>
          <w:sz w:val="20"/>
          <w:szCs w:val="20"/>
        </w:rPr>
      </w:pPr>
      <w:r>
        <w:rPr>
          <w:rFonts w:ascii="Times New Roman" w:hAnsi="Times New Roman" w:cs="Times New Roman" w:hint="eastAsia"/>
          <w:b/>
          <w:bCs/>
          <w:color w:val="000000" w:themeColor="text1"/>
          <w:sz w:val="20"/>
          <w:szCs w:val="20"/>
        </w:rPr>
        <w:t>Contribution</w:t>
      </w:r>
    </w:p>
    <w:p w:rsidR="0018326D" w:rsidRDefault="0019043E">
      <w:pPr>
        <w:ind w:firstLineChars="200" w:firstLine="400"/>
        <w:rPr>
          <w:rFonts w:ascii="Times New Roman" w:hAnsi="Times New Roman" w:cs="Times New Roman"/>
          <w:sz w:val="20"/>
          <w:szCs w:val="20"/>
        </w:rPr>
      </w:pPr>
      <w:r>
        <w:rPr>
          <w:rFonts w:ascii="Times New Roman" w:hAnsi="Times New Roman" w:cs="Times New Roman" w:hint="eastAsia"/>
          <w:sz w:val="20"/>
          <w:szCs w:val="20"/>
        </w:rPr>
        <w:t xml:space="preserve">Hui Zheng conceptualized and designed the study, collected and analyzed the data, and </w:t>
      </w:r>
      <w:r>
        <w:rPr>
          <w:rFonts w:ascii="Times New Roman" w:hAnsi="Times New Roman" w:cs="Times New Roman" w:hint="eastAsia"/>
          <w:sz w:val="20"/>
          <w:szCs w:val="20"/>
        </w:rPr>
        <w:t>contributed to the writing and revision of the manuscript.</w:t>
      </w:r>
    </w:p>
    <w:p w:rsidR="0018326D" w:rsidRDefault="0019043E">
      <w:pPr>
        <w:spacing w:line="360" w:lineRule="auto"/>
        <w:rPr>
          <w:rFonts w:ascii="Times New Roman" w:hAnsi="Times New Roman" w:cs="Times New Roman"/>
          <w:b/>
          <w:bCs/>
          <w:color w:val="000000" w:themeColor="text1"/>
          <w:sz w:val="20"/>
          <w:szCs w:val="20"/>
        </w:rPr>
      </w:pPr>
      <w:r>
        <w:rPr>
          <w:rFonts w:ascii="Times New Roman" w:hAnsi="Times New Roman" w:cs="Times New Roman" w:hint="eastAsia"/>
          <w:b/>
          <w:bCs/>
          <w:color w:val="000000" w:themeColor="text1"/>
          <w:sz w:val="20"/>
          <w:szCs w:val="20"/>
        </w:rPr>
        <w:t>Ethics Statement</w:t>
      </w:r>
    </w:p>
    <w:p w:rsidR="0018326D" w:rsidRDefault="0019043E">
      <w:pPr>
        <w:ind w:firstLineChars="200" w:firstLine="400"/>
        <w:rPr>
          <w:rFonts w:ascii="Times New Roman" w:hAnsi="Times New Roman" w:cs="Times New Roman"/>
          <w:sz w:val="20"/>
          <w:szCs w:val="20"/>
        </w:rPr>
      </w:pPr>
      <w:r>
        <w:rPr>
          <w:rFonts w:ascii="Times New Roman" w:hAnsi="Times New Roman" w:cs="Times New Roman" w:hint="eastAsia"/>
          <w:sz w:val="20"/>
          <w:szCs w:val="20"/>
        </w:rPr>
        <w:t>Not applicable.</w:t>
      </w:r>
    </w:p>
    <w:p w:rsidR="0018326D" w:rsidRDefault="0019043E">
      <w:pPr>
        <w:spacing w:line="360" w:lineRule="auto"/>
        <w:rPr>
          <w:rFonts w:ascii="Times New Roman" w:hAnsi="Times New Roman" w:cs="Times New Roman"/>
          <w:b/>
          <w:bCs/>
          <w:color w:val="000000" w:themeColor="text1"/>
          <w:sz w:val="20"/>
          <w:szCs w:val="20"/>
        </w:rPr>
      </w:pPr>
      <w:r>
        <w:rPr>
          <w:rFonts w:ascii="Times New Roman" w:hAnsi="Times New Roman" w:cs="Times New Roman" w:hint="eastAsia"/>
          <w:b/>
          <w:bCs/>
          <w:color w:val="000000" w:themeColor="text1"/>
          <w:sz w:val="20"/>
          <w:szCs w:val="20"/>
        </w:rPr>
        <w:t>Ethics, Consent to Participate, and Consent to Publish declarations</w:t>
      </w:r>
    </w:p>
    <w:p w:rsidR="0018326D" w:rsidRDefault="0019043E">
      <w:pPr>
        <w:ind w:firstLineChars="200" w:firstLine="400"/>
        <w:rPr>
          <w:rFonts w:ascii="Times New Roman" w:hAnsi="Times New Roman" w:cs="Times New Roman"/>
          <w:sz w:val="20"/>
          <w:szCs w:val="20"/>
        </w:rPr>
      </w:pPr>
      <w:r>
        <w:rPr>
          <w:rFonts w:ascii="Times New Roman" w:hAnsi="Times New Roman" w:cs="Times New Roman" w:hint="eastAsia"/>
          <w:sz w:val="20"/>
          <w:szCs w:val="20"/>
        </w:rPr>
        <w:t>Not applicable.</w:t>
      </w:r>
    </w:p>
    <w:p w:rsidR="0018326D" w:rsidRDefault="0019043E">
      <w:pPr>
        <w:spacing w:line="360" w:lineRule="auto"/>
        <w:rPr>
          <w:rFonts w:ascii="Times New Roman" w:hAnsi="Times New Roman" w:cs="Times New Roman"/>
          <w:b/>
          <w:bCs/>
          <w:color w:val="000000" w:themeColor="text1"/>
          <w:sz w:val="20"/>
          <w:szCs w:val="20"/>
        </w:rPr>
      </w:pPr>
      <w:r>
        <w:rPr>
          <w:rFonts w:ascii="Times New Roman" w:hAnsi="Times New Roman" w:cs="Times New Roman" w:hint="eastAsia"/>
          <w:b/>
          <w:bCs/>
          <w:color w:val="000000" w:themeColor="text1"/>
          <w:sz w:val="20"/>
          <w:szCs w:val="20"/>
        </w:rPr>
        <w:t>Clinical trial number</w:t>
      </w:r>
    </w:p>
    <w:p w:rsidR="0018326D" w:rsidRDefault="0019043E">
      <w:pPr>
        <w:ind w:firstLineChars="200" w:firstLine="400"/>
        <w:rPr>
          <w:rFonts w:ascii="Times New Roman" w:eastAsia="Microsoft YaHei" w:hAnsi="Times New Roman" w:cs="Times New Roman"/>
          <w:color w:val="000000" w:themeColor="text1"/>
          <w:sz w:val="20"/>
          <w:szCs w:val="20"/>
        </w:rPr>
      </w:pPr>
      <w:r>
        <w:rPr>
          <w:rFonts w:ascii="Times New Roman" w:hAnsi="Times New Roman" w:cs="Times New Roman" w:hint="eastAsia"/>
          <w:sz w:val="20"/>
          <w:szCs w:val="20"/>
        </w:rPr>
        <w:t>Not applicable.</w:t>
      </w:r>
    </w:p>
    <w:p w:rsidR="0018326D" w:rsidRDefault="0019043E">
      <w:pPr>
        <w:spacing w:line="360" w:lineRule="auto"/>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Appendix </w:t>
      </w:r>
    </w:p>
    <w:p w:rsidR="0018326D" w:rsidRDefault="0019043E">
      <w:pPr>
        <w:rPr>
          <w:rFonts w:ascii="Times New Roman" w:eastAsia="Microsoft YaHei" w:hAnsi="Times New Roman" w:cs="Times New Roman"/>
          <w:b/>
          <w:bCs/>
          <w:color w:val="000000" w:themeColor="text1"/>
        </w:rPr>
      </w:pPr>
      <w:r>
        <w:rPr>
          <w:rFonts w:ascii="Times New Roman" w:eastAsia="Microsoft YaHei" w:hAnsi="Times New Roman" w:cs="Times New Roman" w:hint="eastAsia"/>
          <w:b/>
          <w:bCs/>
          <w:color w:val="000000" w:themeColor="text1"/>
        </w:rPr>
        <w:t xml:space="preserve">A. JACAR Search String </w:t>
      </w:r>
    </w:p>
    <w:p w:rsidR="0018326D" w:rsidRDefault="0019043E">
      <w:pPr>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1. (“Wang Hongnian”) AND (‘international law’ OR “diplomacy”)  </w:t>
      </w:r>
    </w:p>
    <w:p w:rsidR="0018326D" w:rsidRDefault="0019043E">
      <w:pPr>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2. (“Qing Dynasty students” AND “Tokyo Imperial University Faculty of Law”) </w:t>
      </w:r>
    </w:p>
    <w:p w:rsidR="0018326D" w:rsidRDefault="0019043E">
      <w:pPr>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3. (“Zhengjiatun Incident” OR “Fuzhou Anti-Japanese Movement” OR “Shandong Unresolved Case”) AND (“Related </w:t>
      </w:r>
      <w:r>
        <w:rPr>
          <w:rFonts w:ascii="Times New Roman" w:eastAsia="Microsoft YaHei" w:hAnsi="Times New Roman" w:cs="Times New Roman"/>
          <w:color w:val="000000" w:themeColor="text1"/>
        </w:rPr>
        <w:t>Documents”)</w:t>
      </w:r>
    </w:p>
    <w:p w:rsidR="0018326D" w:rsidRDefault="0019043E">
      <w:pPr>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4. (“Ministry of Foreign Affairs Records” AND ‘China’ AND “Compensation” AND 1913–1922)</w:t>
      </w:r>
    </w:p>
    <w:p w:rsidR="0018326D" w:rsidRDefault="0019043E">
      <w:pPr>
        <w:rPr>
          <w:rFonts w:ascii="Times New Roman" w:eastAsia="Microsoft YaHei" w:hAnsi="Times New Roman" w:cs="Times New Roman"/>
          <w:b/>
          <w:bCs/>
          <w:color w:val="000000" w:themeColor="text1"/>
        </w:rPr>
      </w:pPr>
      <w:r>
        <w:rPr>
          <w:rFonts w:ascii="Times New Roman" w:eastAsia="Microsoft YaHei" w:hAnsi="Times New Roman" w:cs="Times New Roman"/>
          <w:b/>
          <w:bCs/>
          <w:color w:val="000000" w:themeColor="text1"/>
        </w:rPr>
        <w:t>B. Crisis Exclusion Criteria</w:t>
      </w:r>
    </w:p>
    <w:tbl>
      <w:tblPr>
        <w:tblW w:w="0" w:type="auto"/>
        <w:jc w:val="center"/>
        <w:tblCellMar>
          <w:left w:w="0" w:type="dxa"/>
          <w:right w:w="0" w:type="dxa"/>
        </w:tblCellMar>
        <w:tblLook w:val="04A0" w:firstRow="1" w:lastRow="0" w:firstColumn="1" w:lastColumn="0" w:noHBand="0" w:noVBand="1"/>
      </w:tblPr>
      <w:tblGrid>
        <w:gridCol w:w="1976"/>
        <w:gridCol w:w="845"/>
        <w:gridCol w:w="3893"/>
        <w:gridCol w:w="1832"/>
      </w:tblGrid>
      <w:tr w:rsidR="0018326D">
        <w:trPr>
          <w:tblHeader/>
          <w:jc w:val="center"/>
        </w:trPr>
        <w:tc>
          <w:tcPr>
            <w:tcW w:w="0" w:type="auto"/>
            <w:tcBorders>
              <w:top w:val="single" w:sz="2" w:space="0" w:color="auto"/>
              <w:left w:val="nil"/>
              <w:bottom w:val="single" w:sz="4" w:space="0" w:color="auto"/>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hAnsi="Times New Roman" w:cs="Times New Roman"/>
                <w:b/>
                <w:bCs/>
                <w:color w:val="000000" w:themeColor="text1"/>
                <w:sz w:val="20"/>
                <w:szCs w:val="20"/>
              </w:rPr>
            </w:pPr>
            <w:r>
              <w:rPr>
                <w:rFonts w:ascii="Times New Roman" w:eastAsia="SimSun" w:hAnsi="Times New Roman" w:cs="Times New Roman"/>
                <w:b/>
                <w:bCs/>
                <w:color w:val="000000" w:themeColor="text1"/>
                <w:kern w:val="0"/>
                <w:sz w:val="20"/>
                <w:szCs w:val="20"/>
                <w:lang w:bidi="ar"/>
              </w:rPr>
              <w:t>Incident</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hAnsi="Times New Roman" w:cs="Times New Roman"/>
                <w:b/>
                <w:bCs/>
                <w:color w:val="000000" w:themeColor="text1"/>
                <w:sz w:val="20"/>
                <w:szCs w:val="20"/>
              </w:rPr>
            </w:pPr>
            <w:r>
              <w:rPr>
                <w:rFonts w:ascii="Times New Roman" w:eastAsia="SimSun" w:hAnsi="Times New Roman" w:cs="Times New Roman"/>
                <w:b/>
                <w:bCs/>
                <w:color w:val="000000" w:themeColor="text1"/>
                <w:kern w:val="0"/>
                <w:sz w:val="20"/>
                <w:szCs w:val="20"/>
                <w:lang w:bidi="ar"/>
              </w:rPr>
              <w:t>Year</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hAnsi="Times New Roman" w:cs="Times New Roman"/>
                <w:b/>
                <w:bCs/>
                <w:color w:val="000000" w:themeColor="text1"/>
                <w:sz w:val="20"/>
                <w:szCs w:val="20"/>
              </w:rPr>
            </w:pPr>
            <w:r>
              <w:rPr>
                <w:rFonts w:ascii="Times New Roman" w:eastAsia="SimSun" w:hAnsi="Times New Roman" w:cs="Times New Roman"/>
                <w:b/>
                <w:bCs/>
                <w:color w:val="000000" w:themeColor="text1"/>
                <w:kern w:val="0"/>
                <w:sz w:val="20"/>
                <w:szCs w:val="20"/>
                <w:lang w:bidi="ar"/>
              </w:rPr>
              <w:t>Reason for Exclusion</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hAnsi="Times New Roman" w:cs="Times New Roman"/>
                <w:b/>
                <w:bCs/>
                <w:color w:val="000000" w:themeColor="text1"/>
                <w:sz w:val="20"/>
                <w:szCs w:val="20"/>
              </w:rPr>
            </w:pPr>
            <w:r>
              <w:rPr>
                <w:rFonts w:ascii="Times New Roman" w:eastAsia="SimSun" w:hAnsi="Times New Roman" w:cs="Times New Roman"/>
                <w:b/>
                <w:bCs/>
                <w:color w:val="000000" w:themeColor="text1"/>
                <w:kern w:val="0"/>
                <w:sz w:val="20"/>
                <w:szCs w:val="20"/>
                <w:lang w:bidi="ar"/>
              </w:rPr>
              <w:t>Archival Note</w:t>
            </w:r>
          </w:p>
        </w:tc>
      </w:tr>
      <w:tr w:rsidR="0018326D">
        <w:trPr>
          <w:jc w:val="center"/>
        </w:trPr>
        <w:tc>
          <w:tcPr>
            <w:tcW w:w="0" w:type="auto"/>
            <w:tcBorders>
              <w:top w:val="single" w:sz="4" w:space="0" w:color="auto"/>
              <w:left w:val="nil"/>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Jiandao (Gando) Incident</w:t>
            </w:r>
          </w:p>
        </w:tc>
        <w:tc>
          <w:tcPr>
            <w:tcW w:w="0" w:type="auto"/>
            <w:tcBorders>
              <w:top w:val="single" w:sz="4"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1918</w:t>
            </w:r>
          </w:p>
        </w:tc>
        <w:tc>
          <w:tcPr>
            <w:tcW w:w="0" w:type="auto"/>
            <w:tcBorders>
              <w:top w:val="single" w:sz="4"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 xml:space="preserve">Wang listed only as advisory attaché; no lead </w:t>
            </w:r>
            <w:r>
              <w:rPr>
                <w:rFonts w:ascii="Times New Roman" w:eastAsia="SimSun" w:hAnsi="Times New Roman" w:cs="Times New Roman"/>
                <w:color w:val="000000" w:themeColor="text1"/>
                <w:kern w:val="0"/>
                <w:sz w:val="20"/>
                <w:szCs w:val="20"/>
                <w:lang w:bidi="ar"/>
              </w:rPr>
              <w:t>legal role</w:t>
            </w:r>
          </w:p>
        </w:tc>
        <w:tc>
          <w:tcPr>
            <w:tcW w:w="0" w:type="auto"/>
            <w:tcBorders>
              <w:top w:val="single" w:sz="4"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JACAR B16080854950</w:t>
            </w:r>
          </w:p>
        </w:tc>
      </w:tr>
      <w:tr w:rsidR="0018326D">
        <w:trPr>
          <w:jc w:val="center"/>
        </w:trPr>
        <w:tc>
          <w:tcPr>
            <w:tcW w:w="0" w:type="auto"/>
            <w:tcBorders>
              <w:top w:val="single" w:sz="2" w:space="0" w:color="auto"/>
              <w:left w:val="nil"/>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Nishihara Loans Dispute</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1917–18</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Predominantly financial; minimal legal argumentation</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JACAR B16080855010</w:t>
            </w:r>
          </w:p>
        </w:tc>
      </w:tr>
      <w:tr w:rsidR="0018326D">
        <w:trPr>
          <w:jc w:val="center"/>
        </w:trPr>
        <w:tc>
          <w:tcPr>
            <w:tcW w:w="0" w:type="auto"/>
            <w:tcBorders>
              <w:top w:val="single" w:sz="2" w:space="0" w:color="auto"/>
              <w:left w:val="nil"/>
              <w:bottom w:val="single" w:sz="4" w:space="0" w:color="auto"/>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Shandong Railway Police Crisis</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1918</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See §3 “Negative Case Disclosure”; already coded as failure and reported</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hAnsi="Times New Roman" w:cs="Times New Roman"/>
                <w:color w:val="000000" w:themeColor="text1"/>
                <w:sz w:val="20"/>
                <w:szCs w:val="20"/>
              </w:rPr>
            </w:pPr>
            <w:r>
              <w:rPr>
                <w:rFonts w:ascii="Times New Roman" w:eastAsia="SimSun" w:hAnsi="Times New Roman" w:cs="Times New Roman"/>
                <w:color w:val="000000" w:themeColor="text1"/>
                <w:kern w:val="0"/>
                <w:sz w:val="20"/>
                <w:szCs w:val="20"/>
                <w:lang w:bidi="ar"/>
              </w:rPr>
              <w:t>—</w:t>
            </w:r>
          </w:p>
        </w:tc>
      </w:tr>
    </w:tbl>
    <w:p w:rsidR="0018326D" w:rsidRDefault="0019043E">
      <w:pPr>
        <w:rPr>
          <w:rFonts w:ascii="Times New Roman" w:eastAsia="Microsoft YaHei" w:hAnsi="Times New Roman" w:cs="Times New Roman"/>
          <w:b/>
          <w:bCs/>
          <w:color w:val="000000" w:themeColor="text1"/>
        </w:rPr>
      </w:pPr>
      <w:r>
        <w:rPr>
          <w:rFonts w:ascii="Times New Roman" w:eastAsia="Microsoft YaHei" w:hAnsi="Times New Roman" w:cs="Times New Roman"/>
          <w:b/>
          <w:bCs/>
          <w:color w:val="000000" w:themeColor="text1"/>
        </w:rPr>
        <w:t xml:space="preserve">C. </w:t>
      </w:r>
      <w:r>
        <w:rPr>
          <w:rFonts w:ascii="Times New Roman" w:eastAsia="Microsoft YaHei" w:hAnsi="Times New Roman" w:cs="Times New Roman"/>
          <w:b/>
          <w:bCs/>
          <w:color w:val="000000" w:themeColor="text1"/>
        </w:rPr>
        <w:t>Coding Manual – “Capital Conversion” Events</w:t>
      </w:r>
    </w:p>
    <w:tbl>
      <w:tblPr>
        <w:tblW w:w="0" w:type="auto"/>
        <w:tblCellMar>
          <w:left w:w="0" w:type="dxa"/>
          <w:right w:w="0" w:type="dxa"/>
        </w:tblCellMar>
        <w:tblLook w:val="04A0" w:firstRow="1" w:lastRow="0" w:firstColumn="1" w:lastColumn="0" w:noHBand="0" w:noVBand="1"/>
      </w:tblPr>
      <w:tblGrid>
        <w:gridCol w:w="1566"/>
        <w:gridCol w:w="5621"/>
        <w:gridCol w:w="1359"/>
      </w:tblGrid>
      <w:tr w:rsidR="0018326D">
        <w:trPr>
          <w:tblHeader/>
        </w:trPr>
        <w:tc>
          <w:tcPr>
            <w:tcW w:w="0" w:type="auto"/>
            <w:tcBorders>
              <w:top w:val="single" w:sz="2" w:space="0" w:color="auto"/>
              <w:left w:val="nil"/>
              <w:bottom w:val="single" w:sz="4" w:space="0" w:color="auto"/>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eastAsia="SimSun" w:hAnsi="Times New Roman" w:cs="Times New Roman"/>
                <w:b/>
                <w:bCs/>
                <w:color w:val="000000" w:themeColor="text1"/>
                <w:kern w:val="0"/>
                <w:sz w:val="20"/>
                <w:szCs w:val="20"/>
                <w:lang w:bidi="ar"/>
              </w:rPr>
            </w:pPr>
            <w:r>
              <w:rPr>
                <w:rFonts w:ascii="Times New Roman" w:eastAsia="SimSun" w:hAnsi="Times New Roman" w:cs="Times New Roman"/>
                <w:b/>
                <w:bCs/>
                <w:color w:val="000000" w:themeColor="text1"/>
                <w:kern w:val="0"/>
                <w:sz w:val="20"/>
                <w:szCs w:val="20"/>
                <w:lang w:bidi="ar"/>
              </w:rPr>
              <w:t>Variable</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eastAsia="SimSun" w:hAnsi="Times New Roman" w:cs="Times New Roman"/>
                <w:b/>
                <w:bCs/>
                <w:color w:val="000000" w:themeColor="text1"/>
                <w:kern w:val="0"/>
                <w:sz w:val="20"/>
                <w:szCs w:val="20"/>
                <w:lang w:bidi="ar"/>
              </w:rPr>
            </w:pPr>
            <w:r>
              <w:rPr>
                <w:rFonts w:ascii="Times New Roman" w:eastAsia="SimSun" w:hAnsi="Times New Roman" w:cs="Times New Roman"/>
                <w:b/>
                <w:bCs/>
                <w:color w:val="000000" w:themeColor="text1"/>
                <w:kern w:val="0"/>
                <w:sz w:val="20"/>
                <w:szCs w:val="20"/>
                <w:lang w:bidi="ar"/>
              </w:rPr>
              <w:t>Values &amp; Definitions</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eastAsia="SimSun" w:hAnsi="Times New Roman" w:cs="Times New Roman"/>
                <w:b/>
                <w:bCs/>
                <w:color w:val="000000" w:themeColor="text1"/>
                <w:kern w:val="0"/>
                <w:sz w:val="20"/>
                <w:szCs w:val="20"/>
                <w:lang w:bidi="ar"/>
              </w:rPr>
            </w:pPr>
            <w:r>
              <w:rPr>
                <w:rFonts w:ascii="Times New Roman" w:eastAsia="SimSun" w:hAnsi="Times New Roman" w:cs="Times New Roman"/>
                <w:b/>
                <w:bCs/>
                <w:color w:val="000000" w:themeColor="text1"/>
                <w:kern w:val="0"/>
                <w:sz w:val="20"/>
                <w:szCs w:val="20"/>
                <w:lang w:bidi="ar"/>
              </w:rPr>
              <w:t>Inter-coder κ</w:t>
            </w:r>
          </w:p>
        </w:tc>
      </w:tr>
      <w:tr w:rsidR="0018326D">
        <w:tc>
          <w:tcPr>
            <w:tcW w:w="0" w:type="auto"/>
            <w:tcBorders>
              <w:top w:val="single" w:sz="4" w:space="0" w:color="auto"/>
              <w:left w:val="nil"/>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eastAsia="SimSun" w:hAnsi="Times New Roman" w:cs="Times New Roman"/>
                <w:color w:val="000000" w:themeColor="text1"/>
                <w:kern w:val="0"/>
                <w:sz w:val="20"/>
                <w:szCs w:val="20"/>
                <w:lang w:bidi="ar"/>
              </w:rPr>
            </w:pPr>
            <w:r>
              <w:rPr>
                <w:rFonts w:ascii="Times New Roman" w:eastAsia="SimSun" w:hAnsi="Times New Roman" w:cs="Times New Roman"/>
                <w:color w:val="000000" w:themeColor="text1"/>
                <w:kern w:val="0"/>
                <w:sz w:val="20"/>
                <w:szCs w:val="20"/>
                <w:lang w:bidi="ar"/>
              </w:rPr>
              <w:t>Crisis Type</w:t>
            </w:r>
          </w:p>
        </w:tc>
        <w:tc>
          <w:tcPr>
            <w:tcW w:w="0" w:type="auto"/>
            <w:tcBorders>
              <w:top w:val="single" w:sz="4"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eastAsia="SimSun" w:hAnsi="Times New Roman" w:cs="Times New Roman"/>
                <w:color w:val="000000" w:themeColor="text1"/>
                <w:kern w:val="0"/>
                <w:sz w:val="20"/>
                <w:szCs w:val="20"/>
                <w:lang w:bidi="ar"/>
              </w:rPr>
            </w:pPr>
            <w:r>
              <w:rPr>
                <w:rFonts w:ascii="Times New Roman" w:eastAsia="SimSun" w:hAnsi="Times New Roman" w:cs="Times New Roman"/>
                <w:color w:val="000000" w:themeColor="text1"/>
                <w:kern w:val="0"/>
                <w:sz w:val="20"/>
                <w:szCs w:val="20"/>
                <w:lang w:bidi="ar"/>
              </w:rPr>
              <w:t>1 = territorial, 2 = indemnity, 3 = extraterritoriality</w:t>
            </w:r>
          </w:p>
        </w:tc>
        <w:tc>
          <w:tcPr>
            <w:tcW w:w="0" w:type="auto"/>
            <w:tcBorders>
              <w:top w:val="single" w:sz="4"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eastAsia="SimSun" w:hAnsi="Times New Roman" w:cs="Times New Roman"/>
                <w:color w:val="000000" w:themeColor="text1"/>
                <w:kern w:val="0"/>
                <w:sz w:val="20"/>
                <w:szCs w:val="20"/>
                <w:lang w:bidi="ar"/>
              </w:rPr>
            </w:pPr>
            <w:r>
              <w:rPr>
                <w:rFonts w:ascii="Times New Roman" w:eastAsia="SimSun" w:hAnsi="Times New Roman" w:cs="Times New Roman"/>
                <w:color w:val="000000" w:themeColor="text1"/>
                <w:kern w:val="0"/>
                <w:sz w:val="20"/>
                <w:szCs w:val="20"/>
                <w:lang w:bidi="ar"/>
              </w:rPr>
              <w:t>0.91</w:t>
            </w:r>
          </w:p>
        </w:tc>
      </w:tr>
      <w:tr w:rsidR="0018326D">
        <w:tc>
          <w:tcPr>
            <w:tcW w:w="0" w:type="auto"/>
            <w:tcBorders>
              <w:top w:val="single" w:sz="2" w:space="0" w:color="auto"/>
              <w:left w:val="nil"/>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eastAsia="SimSun" w:hAnsi="Times New Roman" w:cs="Times New Roman"/>
                <w:color w:val="000000" w:themeColor="text1"/>
                <w:kern w:val="0"/>
                <w:sz w:val="20"/>
                <w:szCs w:val="20"/>
                <w:lang w:bidi="ar"/>
              </w:rPr>
            </w:pPr>
            <w:r>
              <w:rPr>
                <w:rFonts w:ascii="Times New Roman" w:eastAsia="SimSun" w:hAnsi="Times New Roman" w:cs="Times New Roman"/>
                <w:color w:val="000000" w:themeColor="text1"/>
                <w:kern w:val="0"/>
                <w:sz w:val="20"/>
                <w:szCs w:val="20"/>
                <w:lang w:bidi="ar"/>
              </w:rPr>
              <w:t>Capital Deployed</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eastAsia="SimSun" w:hAnsi="Times New Roman" w:cs="Times New Roman"/>
                <w:color w:val="000000" w:themeColor="text1"/>
                <w:kern w:val="0"/>
                <w:sz w:val="20"/>
                <w:szCs w:val="20"/>
                <w:lang w:bidi="ar"/>
              </w:rPr>
            </w:pPr>
            <w:r>
              <w:rPr>
                <w:rFonts w:ascii="Times New Roman" w:eastAsia="SimSun" w:hAnsi="Times New Roman" w:cs="Times New Roman"/>
                <w:color w:val="000000" w:themeColor="text1"/>
                <w:kern w:val="0"/>
                <w:sz w:val="20"/>
                <w:szCs w:val="20"/>
                <w:lang w:bidi="ar"/>
              </w:rPr>
              <w:t>1 = academic, 2 = symbolic (honours), 3 = symbolic (network), 4 = hybrid</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eastAsia="SimSun" w:hAnsi="Times New Roman" w:cs="Times New Roman"/>
                <w:color w:val="000000" w:themeColor="text1"/>
                <w:kern w:val="0"/>
                <w:sz w:val="20"/>
                <w:szCs w:val="20"/>
                <w:lang w:bidi="ar"/>
              </w:rPr>
            </w:pPr>
            <w:r>
              <w:rPr>
                <w:rFonts w:ascii="Times New Roman" w:eastAsia="SimSun" w:hAnsi="Times New Roman" w:cs="Times New Roman"/>
                <w:color w:val="000000" w:themeColor="text1"/>
                <w:kern w:val="0"/>
                <w:sz w:val="20"/>
                <w:szCs w:val="20"/>
                <w:lang w:bidi="ar"/>
              </w:rPr>
              <w:t>0.88</w:t>
            </w:r>
          </w:p>
        </w:tc>
      </w:tr>
      <w:tr w:rsidR="0018326D">
        <w:tc>
          <w:tcPr>
            <w:tcW w:w="0" w:type="auto"/>
            <w:tcBorders>
              <w:top w:val="single" w:sz="2" w:space="0" w:color="auto"/>
              <w:left w:val="nil"/>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eastAsia="SimSun" w:hAnsi="Times New Roman" w:cs="Times New Roman"/>
                <w:color w:val="000000" w:themeColor="text1"/>
                <w:kern w:val="0"/>
                <w:sz w:val="20"/>
                <w:szCs w:val="20"/>
                <w:lang w:bidi="ar"/>
              </w:rPr>
            </w:pPr>
            <w:r>
              <w:rPr>
                <w:rFonts w:ascii="Times New Roman" w:eastAsia="SimSun" w:hAnsi="Times New Roman" w:cs="Times New Roman"/>
                <w:color w:val="000000" w:themeColor="text1"/>
                <w:kern w:val="0"/>
                <w:sz w:val="20"/>
                <w:szCs w:val="20"/>
                <w:lang w:bidi="ar"/>
              </w:rPr>
              <w:t>Outcome</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eastAsia="SimSun" w:hAnsi="Times New Roman" w:cs="Times New Roman"/>
                <w:color w:val="000000" w:themeColor="text1"/>
                <w:kern w:val="0"/>
                <w:sz w:val="20"/>
                <w:szCs w:val="20"/>
                <w:lang w:bidi="ar"/>
              </w:rPr>
            </w:pPr>
            <w:r>
              <w:rPr>
                <w:rFonts w:ascii="Times New Roman" w:eastAsia="SimSun" w:hAnsi="Times New Roman" w:cs="Times New Roman"/>
                <w:color w:val="000000" w:themeColor="text1"/>
                <w:kern w:val="0"/>
                <w:sz w:val="20"/>
                <w:szCs w:val="20"/>
                <w:lang w:bidi="ar"/>
              </w:rPr>
              <w:t>0 = no policy change, 1 = partial concession, 2 = full Japanese retreat</w:t>
            </w:r>
          </w:p>
        </w:tc>
        <w:tc>
          <w:tcPr>
            <w:tcW w:w="0" w:type="auto"/>
            <w:tcBorders>
              <w:top w:val="single" w:sz="2" w:space="0" w:color="auto"/>
              <w:left w:val="single" w:sz="2" w:space="0" w:color="auto"/>
              <w:bottom w:val="nil"/>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eastAsia="SimSun" w:hAnsi="Times New Roman" w:cs="Times New Roman"/>
                <w:color w:val="000000" w:themeColor="text1"/>
                <w:kern w:val="0"/>
                <w:sz w:val="20"/>
                <w:szCs w:val="20"/>
                <w:lang w:bidi="ar"/>
              </w:rPr>
            </w:pPr>
            <w:r>
              <w:rPr>
                <w:rFonts w:ascii="Times New Roman" w:eastAsia="SimSun" w:hAnsi="Times New Roman" w:cs="Times New Roman"/>
                <w:color w:val="000000" w:themeColor="text1"/>
                <w:kern w:val="0"/>
                <w:sz w:val="20"/>
                <w:szCs w:val="20"/>
                <w:lang w:bidi="ar"/>
              </w:rPr>
              <w:t>0.94</w:t>
            </w:r>
          </w:p>
        </w:tc>
      </w:tr>
      <w:tr w:rsidR="0018326D">
        <w:tc>
          <w:tcPr>
            <w:tcW w:w="0" w:type="auto"/>
            <w:tcBorders>
              <w:top w:val="single" w:sz="2" w:space="0" w:color="auto"/>
              <w:left w:val="nil"/>
              <w:bottom w:val="single" w:sz="4" w:space="0" w:color="auto"/>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eastAsia="SimSun" w:hAnsi="Times New Roman" w:cs="Times New Roman"/>
                <w:color w:val="000000" w:themeColor="text1"/>
                <w:kern w:val="0"/>
                <w:sz w:val="20"/>
                <w:szCs w:val="20"/>
                <w:lang w:bidi="ar"/>
              </w:rPr>
            </w:pPr>
            <w:r>
              <w:rPr>
                <w:rFonts w:ascii="Times New Roman" w:eastAsia="SimSun" w:hAnsi="Times New Roman" w:cs="Times New Roman"/>
                <w:color w:val="000000" w:themeColor="text1"/>
                <w:kern w:val="0"/>
                <w:sz w:val="20"/>
                <w:szCs w:val="20"/>
                <w:lang w:bidi="ar"/>
              </w:rPr>
              <w:t>Source page/ID</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eastAsia="SimSun" w:hAnsi="Times New Roman" w:cs="Times New Roman"/>
                <w:color w:val="000000" w:themeColor="text1"/>
                <w:kern w:val="0"/>
                <w:sz w:val="20"/>
                <w:szCs w:val="20"/>
                <w:lang w:bidi="ar"/>
              </w:rPr>
            </w:pPr>
            <w:r>
              <w:rPr>
                <w:rFonts w:ascii="Times New Roman" w:eastAsia="SimSun" w:hAnsi="Times New Roman" w:cs="Times New Roman"/>
                <w:color w:val="000000" w:themeColor="text1"/>
                <w:kern w:val="0"/>
                <w:sz w:val="20"/>
                <w:szCs w:val="20"/>
                <w:lang w:bidi="ar"/>
              </w:rPr>
              <w:t>Exact JACAR or FO reference</w:t>
            </w:r>
          </w:p>
        </w:tc>
        <w:tc>
          <w:tcPr>
            <w:tcW w:w="0" w:type="auto"/>
            <w:tcBorders>
              <w:top w:val="single" w:sz="2" w:space="0" w:color="auto"/>
              <w:left w:val="single" w:sz="2" w:space="0" w:color="auto"/>
              <w:bottom w:val="single" w:sz="4" w:space="0" w:color="auto"/>
              <w:right w:val="nil"/>
            </w:tcBorders>
            <w:shd w:val="clear" w:color="auto" w:fill="auto"/>
            <w:tcMar>
              <w:top w:w="80" w:type="dxa"/>
              <w:left w:w="120" w:type="dxa"/>
              <w:bottom w:w="80" w:type="dxa"/>
              <w:right w:w="120" w:type="dxa"/>
            </w:tcMar>
          </w:tcPr>
          <w:p w:rsidR="0018326D" w:rsidRDefault="0019043E">
            <w:pPr>
              <w:widowControl/>
              <w:spacing w:line="220" w:lineRule="atLeast"/>
              <w:jc w:val="center"/>
              <w:textAlignment w:val="baseline"/>
              <w:rPr>
                <w:rFonts w:ascii="Times New Roman" w:eastAsia="SimSun" w:hAnsi="Times New Roman" w:cs="Times New Roman"/>
                <w:color w:val="000000" w:themeColor="text1"/>
                <w:kern w:val="0"/>
                <w:sz w:val="20"/>
                <w:szCs w:val="20"/>
                <w:lang w:bidi="ar"/>
              </w:rPr>
            </w:pPr>
            <w:r>
              <w:rPr>
                <w:rFonts w:ascii="Times New Roman" w:eastAsia="SimSun" w:hAnsi="Times New Roman" w:cs="Times New Roman"/>
                <w:color w:val="000000" w:themeColor="text1"/>
                <w:kern w:val="0"/>
                <w:sz w:val="20"/>
                <w:szCs w:val="20"/>
                <w:lang w:bidi="ar"/>
              </w:rPr>
              <w:t>—</w:t>
            </w:r>
          </w:p>
        </w:tc>
      </w:tr>
    </w:tbl>
    <w:p w:rsidR="0018326D" w:rsidRDefault="0018326D">
      <w:pPr>
        <w:rPr>
          <w:rFonts w:ascii="Times New Roman" w:eastAsia="Microsoft YaHei" w:hAnsi="Times New Roman" w:cs="Times New Roman"/>
          <w:color w:val="000000" w:themeColor="text1"/>
        </w:rPr>
      </w:pPr>
    </w:p>
    <w:p w:rsidR="0018326D" w:rsidRDefault="0019043E">
      <w:pPr>
        <w:ind w:rightChars="200" w:right="420"/>
        <w:rPr>
          <w:rFonts w:ascii="Times New Roman" w:eastAsia="Microsoft YaHei" w:hAnsi="Times New Roman" w:cs="Times New Roman"/>
          <w:b/>
          <w:bCs/>
          <w:color w:val="000000" w:themeColor="text1"/>
        </w:rPr>
      </w:pPr>
      <w:r>
        <w:rPr>
          <w:rFonts w:ascii="Times New Roman" w:eastAsia="Microsoft YaHei" w:hAnsi="Times New Roman" w:cs="Times New Roman" w:hint="eastAsia"/>
          <w:b/>
          <w:bCs/>
          <w:color w:val="000000" w:themeColor="text1"/>
        </w:rPr>
        <w:t>R</w:t>
      </w:r>
      <w:r>
        <w:rPr>
          <w:rFonts w:ascii="Times New Roman" w:eastAsia="Microsoft YaHei" w:hAnsi="Times New Roman" w:cs="Times New Roman"/>
          <w:b/>
          <w:bCs/>
          <w:color w:val="000000" w:themeColor="text1"/>
        </w:rPr>
        <w:t>eference</w:t>
      </w:r>
      <w:r>
        <w:rPr>
          <w:rFonts w:ascii="Times New Roman" w:eastAsia="Microsoft YaHei" w:hAnsi="Times New Roman" w:cs="Times New Roman" w:hint="eastAsia"/>
          <w:b/>
          <w:bCs/>
          <w:color w:val="000000" w:themeColor="text1"/>
        </w:rPr>
        <w:t>s</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Lv, S. (2001). Zhejiang and Japan in the late Qing dynasty. Shanghai Ancient Books </w:t>
      </w:r>
      <w:r>
        <w:rPr>
          <w:rFonts w:ascii="Times New Roman" w:eastAsia="Microsoft YaHei" w:hAnsi="Times New Roman" w:cs="Times New Roman"/>
          <w:color w:val="000000" w:themeColor="text1"/>
        </w:rPr>
        <w:lastRenderedPageBreak/>
        <w:t xml:space="preserve">Publishing House. </w:t>
      </w:r>
      <w:r>
        <w:rPr>
          <w:rFonts w:ascii="Times New Roman" w:eastAsia="Microsoft YaHei" w:hAnsi="Times New Roman" w:cs="Times New Roman"/>
          <w:color w:val="000000" w:themeColor="text1"/>
        </w:rPr>
        <w:t>1–287.</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Zhang, Y. (2022). Research on Japanese students from Ruian County in the late Qing dynasty [Master’s thesis, Zhejiang Gongshang University]. Zhejiang Gongshang University Repository. 1–78.</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Wang, B. (2012). Research on Wang Tizai, a Zhejiang merchant</w:t>
      </w:r>
      <w:r>
        <w:rPr>
          <w:rFonts w:ascii="Times New Roman" w:eastAsia="Microsoft YaHei" w:hAnsi="Times New Roman" w:cs="Times New Roman"/>
          <w:color w:val="000000" w:themeColor="text1"/>
        </w:rPr>
        <w:t xml:space="preserve"> who went to Japan in the early Meiji Period. Journal of Zhejiang Gongshang University, (2), 45–53.</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Wang, B. (2011). A study on Chinese book printing in Japan during the Qing dynasty. Wenxian, (4), 93–108.</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Huo, Y. (2019). The development of Japan's China p</w:t>
      </w:r>
      <w:r>
        <w:rPr>
          <w:rFonts w:ascii="Times New Roman" w:eastAsia="Microsoft YaHei" w:hAnsi="Times New Roman" w:cs="Times New Roman"/>
          <w:color w:val="000000" w:themeColor="text1"/>
        </w:rPr>
        <w:t>olicy during the Taishō period (1912–1919): Focusing on the Sino-Japanese conflict incident [Doctoral dissertation, Japan University of Complutense]. 1–312.</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Lin, L. (2013). Dictionary of people in the Republic of China, Zhejiang. Zhejiang University Press.</w:t>
      </w:r>
      <w:r>
        <w:rPr>
          <w:rFonts w:ascii="Times New Roman" w:eastAsia="Microsoft YaHei" w:hAnsi="Times New Roman" w:cs="Times New Roman"/>
          <w:color w:val="000000" w:themeColor="text1"/>
        </w:rPr>
        <w:t xml:space="preserve"> 1–512.</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Wang, H. (1901). Japanese army military system outline. Wang Tizhai Publishing. 1–64.</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Wang, H., &amp; Okamoto, K. (Eds.). (1900). New compilation of Japanese and Chinese</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dialogues. Tsukiji Movable Type Manufacturing Company. 1–120.</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Okamoto, K., &amp; Wang,</w:t>
      </w:r>
      <w:r>
        <w:rPr>
          <w:rFonts w:ascii="Times New Roman" w:eastAsia="Microsoft YaHei" w:hAnsi="Times New Roman" w:cs="Times New Roman"/>
          <w:color w:val="000000" w:themeColor="text1"/>
        </w:rPr>
        <w:t xml:space="preserve"> H. (1900). New compilation of Rihua conversations. Saito Shōichiro. 1–90.</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Matsuoka, K. (Ed.). (1922). A collection of green duckweed (Vol. 2). Matsuoka Haruyoshi. 1–180.</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Shinno Tatsunori Diary Publishing Association. (1969). Shinno Tatsunori diary (Vol. 5</w:t>
      </w:r>
      <w:r>
        <w:rPr>
          <w:rFonts w:ascii="Times New Roman" w:eastAsia="Microsoft YaHei" w:hAnsi="Times New Roman" w:cs="Times New Roman"/>
          <w:color w:val="000000" w:themeColor="text1"/>
        </w:rPr>
        <w:t>). Kashima Research Institute Publishing. 1–350.</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hint="eastAsia"/>
          <w:color w:val="000000" w:themeColor="text1"/>
        </w:rPr>
        <w:t>Shibusawa Eiichi</w:t>
      </w:r>
      <w:r>
        <w:rPr>
          <w:rFonts w:ascii="Times New Roman" w:eastAsia="Microsoft YaHei" w:hAnsi="Times New Roman" w:cs="Times New Roman"/>
          <w:color w:val="000000" w:themeColor="text1"/>
        </w:rPr>
        <w:t xml:space="preserve"> Memorial Foundation Longmen Society. (1961). Biography of Shizawa Eiichi (Vol. 40). Shizawa Eiichi Biographical Materials Publishing Association. 1–400.</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Japanese Foreign Ministry. (n.d.). </w:t>
      </w:r>
      <w:r>
        <w:rPr>
          <w:rFonts w:ascii="Times New Roman" w:eastAsia="Microsoft YaHei" w:hAnsi="Times New Roman" w:cs="Times New Roman"/>
          <w:color w:val="000000" w:themeColor="text1"/>
        </w:rPr>
        <w:t>Miscellaneous records on Chinese students in Japan (Army and Foreign Affairs Department) [Archival document]. JACAR, Ref. A04010124600. 1–12.</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Taiwan National History Museum. (n.d.). Examination and graduates of overseas study (I) [Archival document]. 1–8.</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National Public Documents Library. (1921). Award of military merit approval document—1921 (Taishō 10th Year)—Volume 7: Foreigners III [Archival document]. 1–5.</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 xml:space="preserve">Qing National Students' Guild Hall. (1902). First report of Qing National Students' Guild Hall. </w:t>
      </w:r>
      <w:r>
        <w:rPr>
          <w:rFonts w:ascii="Times New Roman" w:eastAsia="Microsoft YaHei" w:hAnsi="Times New Roman" w:cs="Times New Roman"/>
          <w:color w:val="000000" w:themeColor="text1"/>
        </w:rPr>
        <w:t>Tong Ying Lu. 1–16.</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Zhejiang Fellow Countrymen Association. (1903, April). Zhejiang fellow countrymen studying in Tokyo and getting a name. Zhejiang Chao, 1–4.</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Committee for Historical Materials of Ouhai County. (1989). Ouhai historical materials (Vol. 3).</w:t>
      </w:r>
      <w:r>
        <w:rPr>
          <w:rFonts w:ascii="Times New Roman" w:eastAsia="Microsoft YaHei" w:hAnsi="Times New Roman" w:cs="Times New Roman"/>
          <w:color w:val="000000" w:themeColor="text1"/>
        </w:rPr>
        <w:t xml:space="preserve"> Ouhai County Archives. 78–82.</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Japanese Foreign Ministry. (n.d.). The case of Zhang Zhidong, Governor of Huguang, sending students to study abroad [Archival document]. Foreign History Archives, No. 19. 1–10.</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Marine Commerce Society. (1899, October 24). The</w:t>
      </w:r>
      <w:r>
        <w:rPr>
          <w:rFonts w:ascii="Times New Roman" w:eastAsia="Microsoft YaHei" w:hAnsi="Times New Roman" w:cs="Times New Roman"/>
          <w:color w:val="000000" w:themeColor="text1"/>
        </w:rPr>
        <w:t xml:space="preserve"> Maritime Gazette, (115), 2.</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Chinese Historical Society. (2000). The hundred days' reform (Chinese modern history series, Vol. 2). Shanghai People's Publishing House. 49–55.</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lastRenderedPageBreak/>
        <w:t>Qian, D. (1973, September 5). A brief history of Chinese students in Japan. Journa</w:t>
      </w:r>
      <w:r>
        <w:rPr>
          <w:rFonts w:ascii="Times New Roman" w:eastAsia="Microsoft YaHei" w:hAnsi="Times New Roman" w:cs="Times New Roman"/>
          <w:color w:val="000000" w:themeColor="text1"/>
        </w:rPr>
        <w:t>l of Japan-China Studies, 60, 80–95.</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Sun, Y. (2020). Ding Fubao's Dongwen Dian Q&amp;A and the development of Japanese textbooks in the late Qing dynasty. Journal of Japanese Language Learning and Research, (4), 79–86.</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Qu, W., &amp; Gong, Z. (2024). Translation an</w:t>
      </w:r>
      <w:r>
        <w:rPr>
          <w:rFonts w:ascii="Times New Roman" w:eastAsia="Microsoft YaHei" w:hAnsi="Times New Roman" w:cs="Times New Roman"/>
          <w:color w:val="000000" w:themeColor="text1"/>
        </w:rPr>
        <w:t>d the development of knowledge of international law in modern China. Shanghai Translation, (2), 70–77.</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The Gazette. (1902, December 7), 3.</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Defense Ministry Defense Research Institute. (1904). Report on the inspection of the Hong Nian Military Academy for C</w:t>
      </w:r>
      <w:r>
        <w:rPr>
          <w:rFonts w:ascii="Times New Roman" w:eastAsia="Microsoft YaHei" w:hAnsi="Times New Roman" w:cs="Times New Roman"/>
          <w:color w:val="000000" w:themeColor="text1"/>
        </w:rPr>
        <w:t>hinese students in Qing China [JACAR Ref. C04013988900]. 1–6.</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Yang, S. (1906). R</w:t>
      </w:r>
      <w:bookmarkStart w:id="2" w:name="_GoBack"/>
      <w:bookmarkEnd w:id="2"/>
      <w:r>
        <w:rPr>
          <w:rFonts w:ascii="Times New Roman" w:eastAsia="Microsoft YaHei" w:hAnsi="Times New Roman" w:cs="Times New Roman"/>
          <w:color w:val="000000" w:themeColor="text1"/>
        </w:rPr>
        <w:t>eport on the situation of Chinese students in Japan and the measures to be taken. Oriental Magazine, 3(11), 139–145.</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Journal of the Examination of Foreign Students. (1906, Octo</w:t>
      </w:r>
      <w:r>
        <w:rPr>
          <w:rFonts w:ascii="Times New Roman" w:eastAsia="Microsoft YaHei" w:hAnsi="Times New Roman" w:cs="Times New Roman"/>
          <w:color w:val="000000" w:themeColor="text1"/>
        </w:rPr>
        <w:t>ber 24). List of examined students, No. 12019, 194.</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Kawashima, S. (1999). Formation of the Republic of China plenipotentiary delegation at the Washington Conference. North China Law Journal, 50(2), 226–240.</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Asian Historical Materials Center. (1924). Second</w:t>
      </w:r>
      <w:r>
        <w:rPr>
          <w:rFonts w:ascii="Times New Roman" w:eastAsia="Microsoft YaHei" w:hAnsi="Times New Roman" w:cs="Times New Roman"/>
          <w:color w:val="000000" w:themeColor="text1"/>
        </w:rPr>
        <w:t xml:space="preserve"> memorandum on the commendation of Wang Hongnian, Head of the Convention Section and Assistant Secretary of the Ministry of Foreign Affairs of China. Commendation and Approval Book, Vol. IV: Foreigners. 1–4.</w:t>
      </w:r>
    </w:p>
    <w:p w:rsidR="0018326D" w:rsidRDefault="0019043E">
      <w:pPr>
        <w:numPr>
          <w:ilvl w:val="0"/>
          <w:numId w:val="14"/>
        </w:numPr>
        <w:ind w:rightChars="200" w:right="420"/>
        <w:rPr>
          <w:rFonts w:ascii="Times New Roman" w:eastAsia="Microsoft YaHei" w:hAnsi="Times New Roman" w:cs="Times New Roman"/>
          <w:color w:val="000000" w:themeColor="text1"/>
        </w:rPr>
      </w:pPr>
      <w:r>
        <w:rPr>
          <w:rFonts w:ascii="Times New Roman" w:eastAsia="Microsoft YaHei" w:hAnsi="Times New Roman" w:cs="Times New Roman"/>
          <w:color w:val="000000" w:themeColor="text1"/>
        </w:rPr>
        <w:t>Wang, H. (1916, September 15). Report of Wang Ho</w:t>
      </w:r>
      <w:r>
        <w:rPr>
          <w:rFonts w:ascii="Times New Roman" w:eastAsia="Microsoft YaHei" w:hAnsi="Times New Roman" w:cs="Times New Roman"/>
          <w:color w:val="000000" w:themeColor="text1"/>
        </w:rPr>
        <w:t>ngnian to the foreign ambassadors of various countries, No. 6040: Japan and America. 1–8.</w:t>
      </w:r>
    </w:p>
    <w:p w:rsidR="0018326D" w:rsidRDefault="0019043E">
      <w:pPr>
        <w:numPr>
          <w:ilvl w:val="0"/>
          <w:numId w:val="14"/>
        </w:numPr>
        <w:ind w:rightChars="200" w:right="420"/>
        <w:rPr>
          <w:rFonts w:ascii="Times New Roman" w:eastAsia="SimSun" w:hAnsi="Times New Roman" w:cs="Times New Roman"/>
          <w:color w:val="000000" w:themeColor="text1"/>
        </w:rPr>
      </w:pPr>
      <w:r>
        <w:rPr>
          <w:rFonts w:ascii="Times New Roman" w:eastAsia="Microsoft YaHei" w:hAnsi="Times New Roman" w:cs="Times New Roman"/>
          <w:color w:val="000000" w:themeColor="text1"/>
        </w:rPr>
        <w:t>Institute of Modern History, Academia Sinica. (1921). Talks during the Japanese invited dinner [Archives 03-39-005-04-007]. 1–5.</w:t>
      </w:r>
    </w:p>
    <w:p w:rsidR="0018326D" w:rsidRDefault="0018326D">
      <w:pPr>
        <w:ind w:rightChars="200" w:right="420"/>
        <w:rPr>
          <w:rFonts w:ascii="Times New Roman" w:eastAsia="Microsoft YaHei" w:hAnsi="Times New Roman" w:cs="Times New Roman"/>
          <w:color w:val="000000" w:themeColor="text1"/>
        </w:rPr>
      </w:pPr>
    </w:p>
    <w:p w:rsidR="0018326D" w:rsidRDefault="0019043E">
      <w:pPr>
        <w:rPr>
          <w:rFonts w:ascii="Times New Roman" w:hAnsi="Times New Roman" w:cs="Times New Roman"/>
          <w:sz w:val="20"/>
          <w:szCs w:val="20"/>
        </w:rPr>
      </w:pPr>
      <w:r>
        <w:rPr>
          <w:rFonts w:ascii="Times New Roman" w:hAnsi="Times New Roman" w:cs="Times New Roman"/>
          <w:b/>
          <w:bCs/>
          <w:i/>
          <w:iCs/>
          <w:noProof/>
          <w:sz w:val="20"/>
          <w:szCs w:val="20"/>
          <w:lang w:eastAsia="en-US"/>
        </w:rPr>
        <w:drawing>
          <wp:anchor distT="0" distB="0" distL="114300" distR="114300" simplePos="0" relativeHeight="251660288" behindDoc="0" locked="0" layoutInCell="1" allowOverlap="1">
            <wp:simplePos x="0" y="0"/>
            <wp:positionH relativeFrom="column">
              <wp:posOffset>103505</wp:posOffset>
            </wp:positionH>
            <wp:positionV relativeFrom="paragraph">
              <wp:posOffset>9525</wp:posOffset>
            </wp:positionV>
            <wp:extent cx="1325880" cy="1623060"/>
            <wp:effectExtent l="0" t="0" r="7620" b="2540"/>
            <wp:wrapSquare wrapText="bothSides"/>
            <wp:docPr id="9" name="图片 9" descr="C:/Users/Admin/Desktop/a0c074e7555d761b47f06e9a384e80f.jpga0c074e7555d761b47f06e9a384e8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a0c074e7555d761b47f06e9a384e80f.jpga0c074e7555d761b47f06e9a384e80f"/>
                    <pic:cNvPicPr>
                      <a:picLocks noChangeAspect="1" noChangeArrowheads="1"/>
                    </pic:cNvPicPr>
                  </pic:nvPicPr>
                  <pic:blipFill>
                    <a:blip r:embed="rId13"/>
                    <a:srcRect t="4119" b="4119"/>
                    <a:stretch>
                      <a:fillRect/>
                    </a:stretch>
                  </pic:blipFill>
                  <pic:spPr>
                    <a:xfrm>
                      <a:off x="0" y="0"/>
                      <a:ext cx="1325880" cy="1623060"/>
                    </a:xfrm>
                    <a:prstGeom prst="rect">
                      <a:avLst/>
                    </a:prstGeom>
                    <a:noFill/>
                    <a:ln>
                      <a:noFill/>
                    </a:ln>
                  </pic:spPr>
                </pic:pic>
              </a:graphicData>
            </a:graphic>
          </wp:anchor>
        </w:drawing>
      </w:r>
      <w:r>
        <w:rPr>
          <w:rFonts w:ascii="Times New Roman" w:hAnsi="Times New Roman" w:cs="Times New Roman"/>
          <w:b/>
          <w:bCs/>
          <w:i/>
          <w:iCs/>
          <w:sz w:val="20"/>
          <w:szCs w:val="20"/>
        </w:rPr>
        <w:t xml:space="preserve"> </w:t>
      </w:r>
      <w:r>
        <w:rPr>
          <w:rFonts w:ascii="Times New Roman" w:hAnsi="Times New Roman" w:cs="Times New Roman"/>
          <w:b/>
          <w:bCs/>
          <w:i/>
          <w:iCs/>
          <w:sz w:val="18"/>
          <w:szCs w:val="18"/>
        </w:rPr>
        <w:t>Hui Zheng</w:t>
      </w:r>
      <w:r>
        <w:rPr>
          <w:rFonts w:ascii="Times New Roman" w:hAnsi="Times New Roman" w:cs="Times New Roman" w:hint="eastAsia"/>
          <w:b/>
          <w:bCs/>
          <w:i/>
          <w:iCs/>
          <w:sz w:val="18"/>
          <w:szCs w:val="18"/>
        </w:rPr>
        <w:t xml:space="preserve"> </w:t>
      </w:r>
      <w:r>
        <w:rPr>
          <w:rFonts w:ascii="Times New Roman" w:hAnsi="Times New Roman" w:cs="Times New Roman"/>
          <w:sz w:val="20"/>
          <w:szCs w:val="20"/>
        </w:rPr>
        <w:t xml:space="preserve">was born in December </w:t>
      </w:r>
      <w:r>
        <w:rPr>
          <w:rFonts w:ascii="Times New Roman" w:hAnsi="Times New Roman" w:cs="Times New Roman"/>
          <w:sz w:val="20"/>
          <w:szCs w:val="20"/>
        </w:rPr>
        <w:t>1995 in Haiyan County, Zhejiang Province. He is a  doctoral student majoring in Foreign Languages and Literatures at Zhejiang Gongshang University in 2022. His research interests include Wenzhou, Zhejiang students studying in Japan and the history of cultu</w:t>
      </w:r>
      <w:r>
        <w:rPr>
          <w:rFonts w:ascii="Times New Roman" w:hAnsi="Times New Roman" w:cs="Times New Roman"/>
          <w:sz w:val="20"/>
          <w:szCs w:val="20"/>
        </w:rPr>
        <w:t>ral exchanges between China and Japan</w:t>
      </w:r>
      <w:r>
        <w:rPr>
          <w:rFonts w:ascii="Times New Roman" w:hAnsi="Times New Roman" w:cs="Times New Roman" w:hint="eastAsia"/>
          <w:sz w:val="20"/>
          <w:szCs w:val="20"/>
        </w:rPr>
        <w:t>.</w:t>
      </w:r>
    </w:p>
    <w:p w:rsidR="0018326D" w:rsidRDefault="0019043E">
      <w:pPr>
        <w:rPr>
          <w:rFonts w:ascii="Times New Roman" w:eastAsia="SimSun" w:hAnsi="Times New Roman" w:cs="Times New Roman"/>
          <w:b/>
          <w:color w:val="FF0000"/>
          <w:sz w:val="20"/>
          <w:szCs w:val="20"/>
        </w:rPr>
      </w:pPr>
      <w:r>
        <w:rPr>
          <w:rFonts w:ascii="Times New Roman" w:hAnsi="Times New Roman" w:cs="Times New Roman"/>
          <w:sz w:val="22"/>
          <w:szCs w:val="22"/>
        </w:rPr>
        <w:t xml:space="preserve">E-mail: </w:t>
      </w:r>
      <w:r>
        <w:rPr>
          <w:rFonts w:ascii="Times New Roman" w:eastAsia="SimSun" w:hAnsi="Times New Roman" w:cs="Times New Roman"/>
          <w:sz w:val="20"/>
          <w:szCs w:val="20"/>
        </w:rPr>
        <w:t>22010130006@pop.zjgsu.edu.cn</w:t>
      </w:r>
    </w:p>
    <w:p w:rsidR="0018326D" w:rsidRDefault="0018326D">
      <w:pPr>
        <w:ind w:rightChars="200" w:right="420"/>
        <w:rPr>
          <w:rFonts w:ascii="Times New Roman" w:eastAsia="Microsoft YaHei" w:hAnsi="Times New Roman" w:cs="Times New Roman"/>
          <w:color w:val="000000" w:themeColor="text1"/>
        </w:rPr>
      </w:pPr>
    </w:p>
    <w:sectPr w:rsidR="0018326D" w:rsidSect="003629CF">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43E" w:rsidRDefault="0019043E">
      <w:r>
        <w:separator/>
      </w:r>
    </w:p>
  </w:endnote>
  <w:endnote w:type="continuationSeparator" w:id="0">
    <w:p w:rsidR="0019043E" w:rsidRDefault="0019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26D" w:rsidRDefault="0019043E">
    <w:pPr>
      <w:pStyle w:val="Footer"/>
      <w:jc w:val="cen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326D" w:rsidRDefault="0019043E">
                          <w:pPr>
                            <w:pStyle w:val="Footer"/>
                          </w:pPr>
                          <w:r>
                            <w:fldChar w:fldCharType="begin"/>
                          </w:r>
                          <w:r>
                            <w:instrText xml:space="preserve"> PAGE  \* MERGEFORMAT </w:instrText>
                          </w:r>
                          <w:r>
                            <w:fldChar w:fldCharType="separate"/>
                          </w:r>
                          <w:r w:rsidR="000E5C14">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8326D" w:rsidRDefault="0019043E">
                    <w:pPr>
                      <w:pStyle w:val="Footer"/>
                    </w:pPr>
                    <w:r>
                      <w:fldChar w:fldCharType="begin"/>
                    </w:r>
                    <w:r>
                      <w:instrText xml:space="preserve"> PAGE  \* MERGEFORMAT </w:instrText>
                    </w:r>
                    <w:r>
                      <w:fldChar w:fldCharType="separate"/>
                    </w:r>
                    <w:r w:rsidR="000E5C14">
                      <w:rPr>
                        <w:noProof/>
                      </w:rPr>
                      <w:t>19</w:t>
                    </w:r>
                    <w:r>
                      <w:fldChar w:fldCharType="end"/>
                    </w:r>
                  </w:p>
                </w:txbxContent>
              </v:textbox>
              <w10:wrap anchorx="margin"/>
            </v:shape>
          </w:pict>
        </mc:Fallback>
      </mc:AlternateContent>
    </w:r>
    <w:sdt>
      <w:sdtPr>
        <w:id w:val="1319304582"/>
      </w:sdtPr>
      <w:sdtEndPr/>
      <w:sdtContent/>
    </w:sdt>
  </w:p>
  <w:p w:rsidR="0018326D" w:rsidRDefault="00183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43E" w:rsidRDefault="0019043E">
      <w:r>
        <w:separator/>
      </w:r>
    </w:p>
  </w:footnote>
  <w:footnote w:type="continuationSeparator" w:id="0">
    <w:p w:rsidR="0019043E" w:rsidRDefault="00190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C32B71"/>
    <w:multiLevelType w:val="singleLevel"/>
    <w:tmpl w:val="81C32B71"/>
    <w:lvl w:ilvl="0">
      <w:start w:val="1"/>
      <w:numFmt w:val="decimal"/>
      <w:suff w:val="space"/>
      <w:lvlText w:val="%1)"/>
      <w:lvlJc w:val="left"/>
    </w:lvl>
  </w:abstractNum>
  <w:abstractNum w:abstractNumId="1">
    <w:nsid w:val="8FF8BF3D"/>
    <w:multiLevelType w:val="singleLevel"/>
    <w:tmpl w:val="8FF8BF3D"/>
    <w:lvl w:ilvl="0">
      <w:start w:val="1"/>
      <w:numFmt w:val="decimal"/>
      <w:suff w:val="space"/>
      <w:lvlText w:val="%1)"/>
      <w:lvlJc w:val="left"/>
    </w:lvl>
  </w:abstractNum>
  <w:abstractNum w:abstractNumId="2">
    <w:nsid w:val="D19FEAB9"/>
    <w:multiLevelType w:val="singleLevel"/>
    <w:tmpl w:val="D19FEAB9"/>
    <w:lvl w:ilvl="0">
      <w:start w:val="1"/>
      <w:numFmt w:val="decimal"/>
      <w:suff w:val="space"/>
      <w:lvlText w:val="%1)"/>
      <w:lvlJc w:val="left"/>
    </w:lvl>
  </w:abstractNum>
  <w:abstractNum w:abstractNumId="3">
    <w:nsid w:val="D8ABAB5D"/>
    <w:multiLevelType w:val="singleLevel"/>
    <w:tmpl w:val="D8ABAB5D"/>
    <w:lvl w:ilvl="0">
      <w:start w:val="1"/>
      <w:numFmt w:val="decimal"/>
      <w:suff w:val="space"/>
      <w:lvlText w:val="%1)"/>
      <w:lvlJc w:val="left"/>
    </w:lvl>
  </w:abstractNum>
  <w:abstractNum w:abstractNumId="4">
    <w:nsid w:val="F6D748D1"/>
    <w:multiLevelType w:val="singleLevel"/>
    <w:tmpl w:val="F6D748D1"/>
    <w:lvl w:ilvl="0">
      <w:start w:val="1"/>
      <w:numFmt w:val="decimal"/>
      <w:suff w:val="space"/>
      <w:lvlText w:val="%1)"/>
      <w:lvlJc w:val="left"/>
    </w:lvl>
  </w:abstractNum>
  <w:abstractNum w:abstractNumId="5">
    <w:nsid w:val="06498C62"/>
    <w:multiLevelType w:val="singleLevel"/>
    <w:tmpl w:val="06498C62"/>
    <w:lvl w:ilvl="0">
      <w:start w:val="1"/>
      <w:numFmt w:val="decimal"/>
      <w:suff w:val="space"/>
      <w:lvlText w:val="%1)"/>
      <w:lvlJc w:val="left"/>
    </w:lvl>
  </w:abstractNum>
  <w:abstractNum w:abstractNumId="6">
    <w:nsid w:val="084F613C"/>
    <w:multiLevelType w:val="singleLevel"/>
    <w:tmpl w:val="084F613C"/>
    <w:lvl w:ilvl="0">
      <w:start w:val="1"/>
      <w:numFmt w:val="decimal"/>
      <w:suff w:val="space"/>
      <w:lvlText w:val="%1."/>
      <w:lvlJc w:val="left"/>
    </w:lvl>
  </w:abstractNum>
  <w:abstractNum w:abstractNumId="7">
    <w:nsid w:val="113C988C"/>
    <w:multiLevelType w:val="singleLevel"/>
    <w:tmpl w:val="113C988C"/>
    <w:lvl w:ilvl="0">
      <w:start w:val="1"/>
      <w:numFmt w:val="decimal"/>
      <w:suff w:val="space"/>
      <w:lvlText w:val="%1)"/>
      <w:lvlJc w:val="left"/>
      <w:rPr>
        <w:rFonts w:ascii="Times New Roman" w:hAnsi="Times New Roman" w:cs="Times New Roman" w:hint="default"/>
      </w:rPr>
    </w:lvl>
  </w:abstractNum>
  <w:abstractNum w:abstractNumId="8">
    <w:nsid w:val="4EE16755"/>
    <w:multiLevelType w:val="singleLevel"/>
    <w:tmpl w:val="4EE16755"/>
    <w:lvl w:ilvl="0">
      <w:start w:val="1"/>
      <w:numFmt w:val="decimal"/>
      <w:suff w:val="space"/>
      <w:lvlText w:val="%1."/>
      <w:lvlJc w:val="left"/>
    </w:lvl>
  </w:abstractNum>
  <w:abstractNum w:abstractNumId="9">
    <w:nsid w:val="53DE7C10"/>
    <w:multiLevelType w:val="singleLevel"/>
    <w:tmpl w:val="53DE7C10"/>
    <w:lvl w:ilvl="0">
      <w:start w:val="1"/>
      <w:numFmt w:val="decimal"/>
      <w:suff w:val="space"/>
      <w:lvlText w:val="%1)"/>
      <w:lvlJc w:val="left"/>
    </w:lvl>
  </w:abstractNum>
  <w:abstractNum w:abstractNumId="10">
    <w:nsid w:val="73453982"/>
    <w:multiLevelType w:val="singleLevel"/>
    <w:tmpl w:val="73453982"/>
    <w:lvl w:ilvl="0">
      <w:start w:val="1"/>
      <w:numFmt w:val="decimal"/>
      <w:suff w:val="space"/>
      <w:lvlText w:val="[%1]"/>
      <w:lvlJc w:val="left"/>
    </w:lvl>
  </w:abstractNum>
  <w:abstractNum w:abstractNumId="11">
    <w:nsid w:val="778D8F0F"/>
    <w:multiLevelType w:val="singleLevel"/>
    <w:tmpl w:val="778D8F0F"/>
    <w:lvl w:ilvl="0">
      <w:start w:val="1"/>
      <w:numFmt w:val="decimal"/>
      <w:suff w:val="space"/>
      <w:lvlText w:val="%1)"/>
      <w:lvlJc w:val="left"/>
    </w:lvl>
  </w:abstractNum>
  <w:abstractNum w:abstractNumId="12">
    <w:nsid w:val="7D651166"/>
    <w:multiLevelType w:val="singleLevel"/>
    <w:tmpl w:val="7D651166"/>
    <w:lvl w:ilvl="0">
      <w:start w:val="1"/>
      <w:numFmt w:val="decimal"/>
      <w:suff w:val="space"/>
      <w:lvlText w:val="%1)"/>
      <w:lvlJc w:val="left"/>
      <w:rPr>
        <w:rFonts w:ascii="Times New Roman" w:hAnsi="Times New Roman" w:cs="Times New Roman" w:hint="default"/>
      </w:rPr>
    </w:lvl>
  </w:abstractNum>
  <w:abstractNum w:abstractNumId="13">
    <w:nsid w:val="7DF9837D"/>
    <w:multiLevelType w:val="singleLevel"/>
    <w:tmpl w:val="7DF9837D"/>
    <w:lvl w:ilvl="0">
      <w:start w:val="1"/>
      <w:numFmt w:val="decimal"/>
      <w:suff w:val="space"/>
      <w:lvlText w:val="%1)"/>
      <w:lvlJc w:val="left"/>
    </w:lvl>
  </w:abstractNum>
  <w:num w:numId="1">
    <w:abstractNumId w:val="6"/>
  </w:num>
  <w:num w:numId="2">
    <w:abstractNumId w:val="3"/>
  </w:num>
  <w:num w:numId="3">
    <w:abstractNumId w:val="4"/>
  </w:num>
  <w:num w:numId="4">
    <w:abstractNumId w:val="0"/>
  </w:num>
  <w:num w:numId="5">
    <w:abstractNumId w:val="8"/>
  </w:num>
  <w:num w:numId="6">
    <w:abstractNumId w:val="9"/>
  </w:num>
  <w:num w:numId="7">
    <w:abstractNumId w:val="11"/>
  </w:num>
  <w:num w:numId="8">
    <w:abstractNumId w:val="13"/>
  </w:num>
  <w:num w:numId="9">
    <w:abstractNumId w:val="5"/>
  </w:num>
  <w:num w:numId="10">
    <w:abstractNumId w:val="12"/>
  </w:num>
  <w:num w:numId="11">
    <w:abstractNumId w:val="7"/>
  </w:num>
  <w:num w:numId="12">
    <w:abstractNumId w:val="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690297"/>
    <w:rsid w:val="BFFFA008"/>
    <w:rsid w:val="CBF70248"/>
    <w:rsid w:val="CEEB82AB"/>
    <w:rsid w:val="CEFB5546"/>
    <w:rsid w:val="D14B954B"/>
    <w:rsid w:val="D23FBEE8"/>
    <w:rsid w:val="D5F8C3D8"/>
    <w:rsid w:val="DA7FCCE7"/>
    <w:rsid w:val="DABB5309"/>
    <w:rsid w:val="DBEFD7EC"/>
    <w:rsid w:val="DBFBFD7F"/>
    <w:rsid w:val="DDEAE581"/>
    <w:rsid w:val="DE7DC451"/>
    <w:rsid w:val="DF57428A"/>
    <w:rsid w:val="DF67AFAA"/>
    <w:rsid w:val="DFBC4D39"/>
    <w:rsid w:val="DFFF9AA1"/>
    <w:rsid w:val="E7A739E8"/>
    <w:rsid w:val="E9F547FF"/>
    <w:rsid w:val="EA0E41C1"/>
    <w:rsid w:val="EA7F4AF2"/>
    <w:rsid w:val="EB5D0CE2"/>
    <w:rsid w:val="EB797F74"/>
    <w:rsid w:val="EB7F6F25"/>
    <w:rsid w:val="EBBFCFA7"/>
    <w:rsid w:val="ECDDB2D1"/>
    <w:rsid w:val="EE3FCCDD"/>
    <w:rsid w:val="EF8A13B0"/>
    <w:rsid w:val="EFE7150E"/>
    <w:rsid w:val="EFE7E23F"/>
    <w:rsid w:val="EFFF3ECB"/>
    <w:rsid w:val="EFFF5F7F"/>
    <w:rsid w:val="F0FFA520"/>
    <w:rsid w:val="F3559CAB"/>
    <w:rsid w:val="F3FED865"/>
    <w:rsid w:val="F3FF642F"/>
    <w:rsid w:val="F4AF9C0E"/>
    <w:rsid w:val="F5BDDC6E"/>
    <w:rsid w:val="F63D393C"/>
    <w:rsid w:val="F6ECD757"/>
    <w:rsid w:val="F777D241"/>
    <w:rsid w:val="F77F4272"/>
    <w:rsid w:val="F7E72705"/>
    <w:rsid w:val="F8F7309D"/>
    <w:rsid w:val="F9FF87A7"/>
    <w:rsid w:val="FA57579C"/>
    <w:rsid w:val="FAF3797C"/>
    <w:rsid w:val="FAFF5800"/>
    <w:rsid w:val="FB97079C"/>
    <w:rsid w:val="FBAF86A2"/>
    <w:rsid w:val="FBD7C6A5"/>
    <w:rsid w:val="FBFDD943"/>
    <w:rsid w:val="FCB31470"/>
    <w:rsid w:val="FCF755AD"/>
    <w:rsid w:val="FD776EFC"/>
    <w:rsid w:val="FDDBEF16"/>
    <w:rsid w:val="FDF563E3"/>
    <w:rsid w:val="FDF8831B"/>
    <w:rsid w:val="FE0A8B01"/>
    <w:rsid w:val="FEFF7D17"/>
    <w:rsid w:val="FF271957"/>
    <w:rsid w:val="FF3FC785"/>
    <w:rsid w:val="FF3FEC58"/>
    <w:rsid w:val="FF577CF1"/>
    <w:rsid w:val="FF7FB896"/>
    <w:rsid w:val="FFBF359F"/>
    <w:rsid w:val="FFD2491F"/>
    <w:rsid w:val="FFD784D5"/>
    <w:rsid w:val="FFDF9253"/>
    <w:rsid w:val="FFDFEBF0"/>
    <w:rsid w:val="FFEFF605"/>
    <w:rsid w:val="FFF99F5E"/>
    <w:rsid w:val="FFFB6598"/>
    <w:rsid w:val="FFFB964D"/>
    <w:rsid w:val="FFFBC660"/>
    <w:rsid w:val="FFFE0968"/>
    <w:rsid w:val="FFFE1A60"/>
    <w:rsid w:val="FFFEC2F7"/>
    <w:rsid w:val="FFFF5C38"/>
    <w:rsid w:val="FFFF7DF9"/>
    <w:rsid w:val="000104B1"/>
    <w:rsid w:val="000163C1"/>
    <w:rsid w:val="00086E43"/>
    <w:rsid w:val="000C6A6C"/>
    <w:rsid w:val="000D1304"/>
    <w:rsid w:val="000E5C14"/>
    <w:rsid w:val="000E789F"/>
    <w:rsid w:val="00133E9A"/>
    <w:rsid w:val="00135CE8"/>
    <w:rsid w:val="00145D41"/>
    <w:rsid w:val="0018326D"/>
    <w:rsid w:val="0019043E"/>
    <w:rsid w:val="001F1215"/>
    <w:rsid w:val="002009C3"/>
    <w:rsid w:val="00234461"/>
    <w:rsid w:val="00247399"/>
    <w:rsid w:val="00250D9A"/>
    <w:rsid w:val="002530BC"/>
    <w:rsid w:val="002A3496"/>
    <w:rsid w:val="002D618A"/>
    <w:rsid w:val="003629CF"/>
    <w:rsid w:val="0037451C"/>
    <w:rsid w:val="00386244"/>
    <w:rsid w:val="003E53BC"/>
    <w:rsid w:val="00454503"/>
    <w:rsid w:val="00467DE5"/>
    <w:rsid w:val="004C6957"/>
    <w:rsid w:val="004E6A64"/>
    <w:rsid w:val="00544BA6"/>
    <w:rsid w:val="00554C33"/>
    <w:rsid w:val="0056617E"/>
    <w:rsid w:val="005F37C0"/>
    <w:rsid w:val="00636BDD"/>
    <w:rsid w:val="006B7EA6"/>
    <w:rsid w:val="007457B0"/>
    <w:rsid w:val="00795BEE"/>
    <w:rsid w:val="008E2A0E"/>
    <w:rsid w:val="009537A5"/>
    <w:rsid w:val="00980AD8"/>
    <w:rsid w:val="009B0BF5"/>
    <w:rsid w:val="009E5347"/>
    <w:rsid w:val="00A4010B"/>
    <w:rsid w:val="00A66B81"/>
    <w:rsid w:val="00A92673"/>
    <w:rsid w:val="00BA7F6A"/>
    <w:rsid w:val="00C17F83"/>
    <w:rsid w:val="00C23037"/>
    <w:rsid w:val="00C551EE"/>
    <w:rsid w:val="00C61248"/>
    <w:rsid w:val="00C65E9E"/>
    <w:rsid w:val="00C733C3"/>
    <w:rsid w:val="00C76684"/>
    <w:rsid w:val="00C9130B"/>
    <w:rsid w:val="00CA2BF5"/>
    <w:rsid w:val="00CA5EF2"/>
    <w:rsid w:val="00CB6339"/>
    <w:rsid w:val="00D43686"/>
    <w:rsid w:val="00D55C7E"/>
    <w:rsid w:val="00D70082"/>
    <w:rsid w:val="00DC2CB1"/>
    <w:rsid w:val="00DD0824"/>
    <w:rsid w:val="00E048FE"/>
    <w:rsid w:val="00E35529"/>
    <w:rsid w:val="00E362A6"/>
    <w:rsid w:val="00E93E3C"/>
    <w:rsid w:val="00EB08B2"/>
    <w:rsid w:val="00ED3555"/>
    <w:rsid w:val="00EE5463"/>
    <w:rsid w:val="00F140A6"/>
    <w:rsid w:val="00F14C05"/>
    <w:rsid w:val="00F66F31"/>
    <w:rsid w:val="00FB6512"/>
    <w:rsid w:val="00FD4847"/>
    <w:rsid w:val="010158D6"/>
    <w:rsid w:val="01115B19"/>
    <w:rsid w:val="01A95AA3"/>
    <w:rsid w:val="021F6013"/>
    <w:rsid w:val="02313F99"/>
    <w:rsid w:val="024E4B4B"/>
    <w:rsid w:val="02693733"/>
    <w:rsid w:val="02805A08"/>
    <w:rsid w:val="02922AF0"/>
    <w:rsid w:val="03304250"/>
    <w:rsid w:val="03DA7303"/>
    <w:rsid w:val="043B2EAD"/>
    <w:rsid w:val="04406715"/>
    <w:rsid w:val="05111F73"/>
    <w:rsid w:val="0580501B"/>
    <w:rsid w:val="06E82466"/>
    <w:rsid w:val="070F19D1"/>
    <w:rsid w:val="07CB15CC"/>
    <w:rsid w:val="07F597E8"/>
    <w:rsid w:val="080A1514"/>
    <w:rsid w:val="0834033F"/>
    <w:rsid w:val="083E46D9"/>
    <w:rsid w:val="094E71DE"/>
    <w:rsid w:val="09905A49"/>
    <w:rsid w:val="09A96737"/>
    <w:rsid w:val="09B259BF"/>
    <w:rsid w:val="0A195A3E"/>
    <w:rsid w:val="0A391C3C"/>
    <w:rsid w:val="0B297F03"/>
    <w:rsid w:val="0B403690"/>
    <w:rsid w:val="0B78464D"/>
    <w:rsid w:val="0BC33EB3"/>
    <w:rsid w:val="0C294516"/>
    <w:rsid w:val="0C704F4E"/>
    <w:rsid w:val="0C790A16"/>
    <w:rsid w:val="0D523741"/>
    <w:rsid w:val="0E1A1D85"/>
    <w:rsid w:val="0E3746E5"/>
    <w:rsid w:val="0E3E5A73"/>
    <w:rsid w:val="0E483A19"/>
    <w:rsid w:val="0E7AEF62"/>
    <w:rsid w:val="0EE4486D"/>
    <w:rsid w:val="0F719536"/>
    <w:rsid w:val="0FBF670B"/>
    <w:rsid w:val="0FE4089C"/>
    <w:rsid w:val="10207B26"/>
    <w:rsid w:val="106043C7"/>
    <w:rsid w:val="108A31F2"/>
    <w:rsid w:val="10E072B6"/>
    <w:rsid w:val="10EC7A09"/>
    <w:rsid w:val="11BE3980"/>
    <w:rsid w:val="127203E1"/>
    <w:rsid w:val="12D44BF8"/>
    <w:rsid w:val="12E2121E"/>
    <w:rsid w:val="13274D28"/>
    <w:rsid w:val="13370CE3"/>
    <w:rsid w:val="14EB7FD7"/>
    <w:rsid w:val="15342832"/>
    <w:rsid w:val="153C4FA7"/>
    <w:rsid w:val="15C03212"/>
    <w:rsid w:val="15D1541F"/>
    <w:rsid w:val="16D36F75"/>
    <w:rsid w:val="17683B61"/>
    <w:rsid w:val="187F2157"/>
    <w:rsid w:val="191A70DD"/>
    <w:rsid w:val="197131A1"/>
    <w:rsid w:val="1A431FD2"/>
    <w:rsid w:val="1A6E148E"/>
    <w:rsid w:val="1AD34002"/>
    <w:rsid w:val="1B7F1479"/>
    <w:rsid w:val="1BFE4A94"/>
    <w:rsid w:val="1D450780"/>
    <w:rsid w:val="1D7F39B2"/>
    <w:rsid w:val="1D903E12"/>
    <w:rsid w:val="1E1E4F79"/>
    <w:rsid w:val="1E7D6144"/>
    <w:rsid w:val="1EB53B30"/>
    <w:rsid w:val="1EC91389"/>
    <w:rsid w:val="1EFFD889"/>
    <w:rsid w:val="1FBFA475"/>
    <w:rsid w:val="1FFFFE30"/>
    <w:rsid w:val="21635AC5"/>
    <w:rsid w:val="22947F00"/>
    <w:rsid w:val="229972C4"/>
    <w:rsid w:val="23571659"/>
    <w:rsid w:val="237D2742"/>
    <w:rsid w:val="243B6031"/>
    <w:rsid w:val="244020ED"/>
    <w:rsid w:val="245711E5"/>
    <w:rsid w:val="24831FDA"/>
    <w:rsid w:val="250848CE"/>
    <w:rsid w:val="2547125A"/>
    <w:rsid w:val="255C4358"/>
    <w:rsid w:val="25640423"/>
    <w:rsid w:val="25FC0296"/>
    <w:rsid w:val="264D16A1"/>
    <w:rsid w:val="26600825"/>
    <w:rsid w:val="276D8D1F"/>
    <w:rsid w:val="2797C124"/>
    <w:rsid w:val="27E96CFC"/>
    <w:rsid w:val="28562E01"/>
    <w:rsid w:val="28C606E7"/>
    <w:rsid w:val="28FB5F37"/>
    <w:rsid w:val="28FB94A2"/>
    <w:rsid w:val="296D4116"/>
    <w:rsid w:val="298365D8"/>
    <w:rsid w:val="29995DFC"/>
    <w:rsid w:val="2A930A9D"/>
    <w:rsid w:val="2A992557"/>
    <w:rsid w:val="2ADC5FDE"/>
    <w:rsid w:val="2B872FA6"/>
    <w:rsid w:val="2B990335"/>
    <w:rsid w:val="2BBB474F"/>
    <w:rsid w:val="2BE93E1E"/>
    <w:rsid w:val="2BF11F1F"/>
    <w:rsid w:val="2C3F712F"/>
    <w:rsid w:val="2D31241A"/>
    <w:rsid w:val="2DAA05D8"/>
    <w:rsid w:val="2DE51610"/>
    <w:rsid w:val="2E1B7D9A"/>
    <w:rsid w:val="2EBC4A66"/>
    <w:rsid w:val="2EEC1CD2"/>
    <w:rsid w:val="2EFFDDA3"/>
    <w:rsid w:val="2F972DDE"/>
    <w:rsid w:val="2FDF5C1B"/>
    <w:rsid w:val="2FEA73B1"/>
    <w:rsid w:val="30705B08"/>
    <w:rsid w:val="30A752A2"/>
    <w:rsid w:val="30C95A67"/>
    <w:rsid w:val="31477DA7"/>
    <w:rsid w:val="32C92CAB"/>
    <w:rsid w:val="34060A6A"/>
    <w:rsid w:val="341D7D55"/>
    <w:rsid w:val="342643A9"/>
    <w:rsid w:val="34727975"/>
    <w:rsid w:val="34AC10D9"/>
    <w:rsid w:val="34AF7BED"/>
    <w:rsid w:val="34F0546A"/>
    <w:rsid w:val="356E45E1"/>
    <w:rsid w:val="36E7464B"/>
    <w:rsid w:val="36F9612C"/>
    <w:rsid w:val="3789B7E9"/>
    <w:rsid w:val="379E73FF"/>
    <w:rsid w:val="37DFF2EE"/>
    <w:rsid w:val="37EF1083"/>
    <w:rsid w:val="38481119"/>
    <w:rsid w:val="386046B4"/>
    <w:rsid w:val="38673C95"/>
    <w:rsid w:val="38AD3BAA"/>
    <w:rsid w:val="39795ED3"/>
    <w:rsid w:val="3AA422CA"/>
    <w:rsid w:val="3ADE3772"/>
    <w:rsid w:val="3AEA64B7"/>
    <w:rsid w:val="3B2745F6"/>
    <w:rsid w:val="3B7875BE"/>
    <w:rsid w:val="3BAE3989"/>
    <w:rsid w:val="3C577B7C"/>
    <w:rsid w:val="3C8A3C26"/>
    <w:rsid w:val="3CFF8A9C"/>
    <w:rsid w:val="3D711112"/>
    <w:rsid w:val="3DBF3C2B"/>
    <w:rsid w:val="3DFD1951"/>
    <w:rsid w:val="3E1F7A0A"/>
    <w:rsid w:val="3EF45B57"/>
    <w:rsid w:val="3F620D12"/>
    <w:rsid w:val="3F690297"/>
    <w:rsid w:val="3FA806EF"/>
    <w:rsid w:val="3FDDB561"/>
    <w:rsid w:val="401C35B7"/>
    <w:rsid w:val="40750F19"/>
    <w:rsid w:val="409F2538"/>
    <w:rsid w:val="40BA0DD8"/>
    <w:rsid w:val="40C23A68"/>
    <w:rsid w:val="40D774DE"/>
    <w:rsid w:val="40F736DC"/>
    <w:rsid w:val="410514D4"/>
    <w:rsid w:val="410D2F00"/>
    <w:rsid w:val="4151459F"/>
    <w:rsid w:val="41961147"/>
    <w:rsid w:val="42164036"/>
    <w:rsid w:val="42A76DCA"/>
    <w:rsid w:val="43542A2C"/>
    <w:rsid w:val="43AF029E"/>
    <w:rsid w:val="4452556A"/>
    <w:rsid w:val="44A973E3"/>
    <w:rsid w:val="44CB0B05"/>
    <w:rsid w:val="45BB73CE"/>
    <w:rsid w:val="45BC6CA2"/>
    <w:rsid w:val="45E06E35"/>
    <w:rsid w:val="46476EB4"/>
    <w:rsid w:val="471E7C15"/>
    <w:rsid w:val="479B74B7"/>
    <w:rsid w:val="47FF71B4"/>
    <w:rsid w:val="482F19AD"/>
    <w:rsid w:val="48357CD5"/>
    <w:rsid w:val="4968161B"/>
    <w:rsid w:val="49C86213"/>
    <w:rsid w:val="49F66C27"/>
    <w:rsid w:val="4A4A2ACF"/>
    <w:rsid w:val="4AFFA077"/>
    <w:rsid w:val="4B38326F"/>
    <w:rsid w:val="4B92472D"/>
    <w:rsid w:val="4BE17463"/>
    <w:rsid w:val="4CAE1A3B"/>
    <w:rsid w:val="4CC72AFC"/>
    <w:rsid w:val="4DC4703C"/>
    <w:rsid w:val="4DEDF68A"/>
    <w:rsid w:val="4E047438"/>
    <w:rsid w:val="4E992277"/>
    <w:rsid w:val="4EA07307"/>
    <w:rsid w:val="4EE5096C"/>
    <w:rsid w:val="4EFE032C"/>
    <w:rsid w:val="4F053644"/>
    <w:rsid w:val="4F7F5C87"/>
    <w:rsid w:val="4FC96B8B"/>
    <w:rsid w:val="4FD73056"/>
    <w:rsid w:val="5019541D"/>
    <w:rsid w:val="50C8299F"/>
    <w:rsid w:val="515C4BD2"/>
    <w:rsid w:val="51C21AE4"/>
    <w:rsid w:val="51CF03B0"/>
    <w:rsid w:val="527E5A0B"/>
    <w:rsid w:val="530472F7"/>
    <w:rsid w:val="53220A8C"/>
    <w:rsid w:val="534E1882"/>
    <w:rsid w:val="537585A8"/>
    <w:rsid w:val="53822E0C"/>
    <w:rsid w:val="53B81EE5"/>
    <w:rsid w:val="53B8385E"/>
    <w:rsid w:val="542B3577"/>
    <w:rsid w:val="542B571F"/>
    <w:rsid w:val="55402C04"/>
    <w:rsid w:val="55762D85"/>
    <w:rsid w:val="563A433F"/>
    <w:rsid w:val="563C2F09"/>
    <w:rsid w:val="56545EF1"/>
    <w:rsid w:val="56D275DA"/>
    <w:rsid w:val="575100BB"/>
    <w:rsid w:val="57AE0B41"/>
    <w:rsid w:val="591A7E3E"/>
    <w:rsid w:val="592311FF"/>
    <w:rsid w:val="59A044B9"/>
    <w:rsid w:val="5A3B5BE9"/>
    <w:rsid w:val="5AB67D0C"/>
    <w:rsid w:val="5AC62645"/>
    <w:rsid w:val="5B1213E7"/>
    <w:rsid w:val="5B6F05E7"/>
    <w:rsid w:val="5B794154"/>
    <w:rsid w:val="5BCF552A"/>
    <w:rsid w:val="5C2A0EF0"/>
    <w:rsid w:val="5C62014C"/>
    <w:rsid w:val="5C893F80"/>
    <w:rsid w:val="5C8B76A2"/>
    <w:rsid w:val="5CCF196B"/>
    <w:rsid w:val="5CF27722"/>
    <w:rsid w:val="5D0905C7"/>
    <w:rsid w:val="5EC4067E"/>
    <w:rsid w:val="5F3A715E"/>
    <w:rsid w:val="5F593A88"/>
    <w:rsid w:val="5F8DDCB2"/>
    <w:rsid w:val="5FC7C3FA"/>
    <w:rsid w:val="61131A15"/>
    <w:rsid w:val="61665FE8"/>
    <w:rsid w:val="61DF6525"/>
    <w:rsid w:val="622D2FAA"/>
    <w:rsid w:val="625E3B5F"/>
    <w:rsid w:val="626D33A6"/>
    <w:rsid w:val="63AB062A"/>
    <w:rsid w:val="64357EF4"/>
    <w:rsid w:val="64B61035"/>
    <w:rsid w:val="65033A6B"/>
    <w:rsid w:val="6522015E"/>
    <w:rsid w:val="6556265F"/>
    <w:rsid w:val="65F7223A"/>
    <w:rsid w:val="665723A3"/>
    <w:rsid w:val="667F87E9"/>
    <w:rsid w:val="66BC48FC"/>
    <w:rsid w:val="66C22C7B"/>
    <w:rsid w:val="66FD6985"/>
    <w:rsid w:val="66FF1E88"/>
    <w:rsid w:val="66FF6CFC"/>
    <w:rsid w:val="67C7C666"/>
    <w:rsid w:val="67E81E4D"/>
    <w:rsid w:val="68120C78"/>
    <w:rsid w:val="683C5CF5"/>
    <w:rsid w:val="6938470E"/>
    <w:rsid w:val="69BA15C7"/>
    <w:rsid w:val="69EFD737"/>
    <w:rsid w:val="6A425119"/>
    <w:rsid w:val="6A70558F"/>
    <w:rsid w:val="6A9C2A7B"/>
    <w:rsid w:val="6AFB4722"/>
    <w:rsid w:val="6B73FFBE"/>
    <w:rsid w:val="6B9A16B0"/>
    <w:rsid w:val="6C6E0447"/>
    <w:rsid w:val="6CAB9EE7"/>
    <w:rsid w:val="6CAF33B0"/>
    <w:rsid w:val="6CDB1908"/>
    <w:rsid w:val="6CDBDD37"/>
    <w:rsid w:val="6D6D54B4"/>
    <w:rsid w:val="6DCF5BA6"/>
    <w:rsid w:val="6DDD5884"/>
    <w:rsid w:val="6E7F0585"/>
    <w:rsid w:val="6E900B48"/>
    <w:rsid w:val="6ECA52F4"/>
    <w:rsid w:val="6ECF4ECC"/>
    <w:rsid w:val="6F125A01"/>
    <w:rsid w:val="6F396712"/>
    <w:rsid w:val="6FF7F8C9"/>
    <w:rsid w:val="6FFCC35D"/>
    <w:rsid w:val="701E3F32"/>
    <w:rsid w:val="70875F7B"/>
    <w:rsid w:val="70D0347E"/>
    <w:rsid w:val="73E568D6"/>
    <w:rsid w:val="73F7282C"/>
    <w:rsid w:val="73F75E7D"/>
    <w:rsid w:val="74DF592E"/>
    <w:rsid w:val="755179F2"/>
    <w:rsid w:val="75622B13"/>
    <w:rsid w:val="761FE605"/>
    <w:rsid w:val="76CDECD6"/>
    <w:rsid w:val="7704390B"/>
    <w:rsid w:val="7729410C"/>
    <w:rsid w:val="77EBBCD9"/>
    <w:rsid w:val="785F5293"/>
    <w:rsid w:val="78F3D421"/>
    <w:rsid w:val="794B3FEA"/>
    <w:rsid w:val="795310F0"/>
    <w:rsid w:val="79DC6166"/>
    <w:rsid w:val="79F93A46"/>
    <w:rsid w:val="7A0D129F"/>
    <w:rsid w:val="7AAFC7BD"/>
    <w:rsid w:val="7AE3E5D1"/>
    <w:rsid w:val="7AFF07F1"/>
    <w:rsid w:val="7B5AC2E8"/>
    <w:rsid w:val="7B841A35"/>
    <w:rsid w:val="7BBA0FB3"/>
    <w:rsid w:val="7BE14791"/>
    <w:rsid w:val="7BF26209"/>
    <w:rsid w:val="7BF6B7A6"/>
    <w:rsid w:val="7BFF3A37"/>
    <w:rsid w:val="7C6F4243"/>
    <w:rsid w:val="7C9C9D96"/>
    <w:rsid w:val="7CF46746"/>
    <w:rsid w:val="7D1C27D6"/>
    <w:rsid w:val="7D431025"/>
    <w:rsid w:val="7D6E0562"/>
    <w:rsid w:val="7DBA416B"/>
    <w:rsid w:val="7DEB5D9B"/>
    <w:rsid w:val="7DF96895"/>
    <w:rsid w:val="7E410432"/>
    <w:rsid w:val="7E4F0468"/>
    <w:rsid w:val="7E7E679C"/>
    <w:rsid w:val="7EAA17B2"/>
    <w:rsid w:val="7EF592C3"/>
    <w:rsid w:val="7EFF6DE3"/>
    <w:rsid w:val="7F7D9B3B"/>
    <w:rsid w:val="7F9B0868"/>
    <w:rsid w:val="7FBB872F"/>
    <w:rsid w:val="7FDCED83"/>
    <w:rsid w:val="7FEB781F"/>
    <w:rsid w:val="7FF278E9"/>
    <w:rsid w:val="7FFDDB67"/>
    <w:rsid w:val="7FFFBF01"/>
    <w:rsid w:val="7FFFDF58"/>
    <w:rsid w:val="88F62645"/>
    <w:rsid w:val="8FBF5CEC"/>
    <w:rsid w:val="93FFAAA6"/>
    <w:rsid w:val="96FA1561"/>
    <w:rsid w:val="9907BBA6"/>
    <w:rsid w:val="9BEFC95B"/>
    <w:rsid w:val="9E73F570"/>
    <w:rsid w:val="A5E7F49D"/>
    <w:rsid w:val="A6E6A8A0"/>
    <w:rsid w:val="A75F251D"/>
    <w:rsid w:val="ABDF02DB"/>
    <w:rsid w:val="AD794A20"/>
    <w:rsid w:val="AE7A267C"/>
    <w:rsid w:val="B6CA6A2D"/>
    <w:rsid w:val="B77D0100"/>
    <w:rsid w:val="B7B99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BF941F8-F02C-4490-9FE8-D37A38B3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uiPriority w:val="9"/>
    <w:unhideWhenUsed/>
    <w:qFormat/>
    <w:pPr>
      <w:keepNext/>
      <w:keepLines/>
      <w:spacing w:before="200"/>
      <w:outlineLvl w:val="1"/>
    </w:pPr>
    <w:rPr>
      <w:rFonts w:asciiTheme="majorHAnsi" w:eastAsiaTheme="majorEastAsia" w:hAnsiTheme="majorHAnsi" w:cstheme="majorBidi"/>
      <w:b/>
      <w:bCs/>
      <w:color w:val="4874CB" w:themeColor="accent1"/>
      <w:sz w:val="26"/>
      <w:szCs w:val="26"/>
    </w:rPr>
  </w:style>
  <w:style w:type="paragraph" w:styleId="Heading3">
    <w:name w:val="heading 3"/>
    <w:basedOn w:val="Normal"/>
    <w:next w:val="Normal"/>
    <w:semiHidden/>
    <w:unhideWhenUsed/>
    <w:qFormat/>
    <w:pPr>
      <w:spacing w:beforeAutospacing="1" w:afterAutospacing="1"/>
      <w:jc w:val="left"/>
      <w:outlineLvl w:val="2"/>
    </w:pPr>
    <w:rPr>
      <w:rFonts w:ascii="SimSun" w:eastAsia="SimSun" w:hAnsi="SimSun" w:cs="Times New Roman" w:hint="eastAsia"/>
      <w:b/>
      <w:bCs/>
      <w:kern w:val="0"/>
      <w:sz w:val="27"/>
      <w:szCs w:val="27"/>
    </w:rPr>
  </w:style>
  <w:style w:type="paragraph" w:styleId="Heading4">
    <w:name w:val="heading 4"/>
    <w:basedOn w:val="Normal"/>
    <w:next w:val="Normal"/>
    <w:semiHidden/>
    <w:unhideWhenUsed/>
    <w:qFormat/>
    <w:pPr>
      <w:spacing w:beforeAutospacing="1" w:afterAutospacing="1"/>
      <w:jc w:val="left"/>
      <w:outlineLvl w:val="3"/>
    </w:pPr>
    <w:rPr>
      <w:rFonts w:ascii="SimSun" w:eastAsia="SimSun" w:hAnsi="SimSun" w:cs="Times New Roman" w:hint="eastAsia"/>
      <w:b/>
      <w:bCs/>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qFormat/>
    <w:pPr>
      <w:tabs>
        <w:tab w:val="center" w:pos="4153"/>
        <w:tab w:val="right" w:pos="8306"/>
      </w:tabs>
      <w:snapToGrid w:val="0"/>
      <w:jc w:val="center"/>
    </w:pPr>
    <w:rPr>
      <w:sz w:val="18"/>
      <w:szCs w:val="18"/>
    </w:rPr>
  </w:style>
  <w:style w:type="paragraph" w:styleId="FootnoteText">
    <w:name w:val="footnote text"/>
    <w:basedOn w:val="Normal"/>
    <w:qFormat/>
    <w:pPr>
      <w:snapToGrid w:val="0"/>
      <w:jc w:val="left"/>
    </w:pPr>
    <w:rPr>
      <w:sz w:val="18"/>
    </w:rPr>
  </w:style>
  <w:style w:type="paragraph" w:styleId="NormalWeb">
    <w:name w:val="Normal (Web)"/>
    <w:basedOn w:val="Normal"/>
    <w:qFormat/>
    <w:pPr>
      <w:spacing w:beforeAutospacing="1" w:afterAutospacing="1"/>
      <w:jc w:val="left"/>
    </w:pPr>
    <w:rPr>
      <w:rFonts w:cs="Times New Roman"/>
      <w:kern w:val="0"/>
      <w:sz w:val="24"/>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Pr>
      <w:b/>
    </w:rPr>
  </w:style>
  <w:style w:type="character" w:styleId="Emphasis">
    <w:name w:val="Emphasis"/>
    <w:basedOn w:val="DefaultParagraphFont"/>
    <w:qFormat/>
    <w:rPr>
      <w:i/>
    </w:rPr>
  </w:style>
  <w:style w:type="character" w:styleId="FootnoteReference">
    <w:name w:val="footnote reference"/>
    <w:basedOn w:val="DefaultParagraphFont"/>
    <w:qFormat/>
    <w:rPr>
      <w:vertAlign w:val="superscript"/>
    </w:rPr>
  </w:style>
  <w:style w:type="character" w:customStyle="1" w:styleId="HeaderChar">
    <w:name w:val="Header Char"/>
    <w:basedOn w:val="DefaultParagraphFont"/>
    <w:link w:val="Header"/>
    <w:qFormat/>
    <w:rPr>
      <w:kern w:val="2"/>
      <w:sz w:val="18"/>
      <w:szCs w:val="18"/>
    </w:rPr>
  </w:style>
  <w:style w:type="character" w:customStyle="1" w:styleId="FooterChar">
    <w:name w:val="Footer Char"/>
    <w:basedOn w:val="DefaultParagraphFont"/>
    <w:link w:val="Footer"/>
    <w:uiPriority w:val="99"/>
    <w:qFormat/>
    <w:rPr>
      <w:kern w:val="2"/>
      <w:sz w:val="18"/>
      <w:szCs w:val="18"/>
    </w:rPr>
  </w:style>
  <w:style w:type="character" w:styleId="LineNumber">
    <w:name w:val="line number"/>
    <w:basedOn w:val="DefaultParagraphFont"/>
    <w:rsid w:val="003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0E711-1A95-4DA4-92BB-A4EC051D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7733</Words>
  <Characters>44083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teiki</dc:creator>
  <cp:lastModifiedBy>hp</cp:lastModifiedBy>
  <cp:revision>2</cp:revision>
  <dcterms:created xsi:type="dcterms:W3CDTF">2025-08-28T07:33:00Z</dcterms:created>
  <dcterms:modified xsi:type="dcterms:W3CDTF">2025-08-28T07:33:00Z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56AB58A47AB34F7E820CCA6676CC567E_13</vt:lpwstr>
  </property>
  <property fmtid="{D5CDD505-2E9C-101B-9397-08002B2CF9AE}" pid="4" name="KSOTemplateDocerSaveRecord">
    <vt:lpwstr>eyJoZGlkIjoiYWJkNGE5MDQwYmFmYjI0ZTI3YzdkMDcyNzAwNDQ0NTciLCJ1c2VySWQiOiI0NDI4MTg1MzEifQ==</vt:lpwstr>
  </property>
</Properties>
</file>