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929" w:rsidRDefault="00B02CDC">
      <w:pPr>
        <w:spacing w:line="360" w:lineRule="auto"/>
        <w:rPr>
          <w:rFonts w:ascii="Times New Roman" w:hAnsi="Times New Roman" w:cs="Times New Roman"/>
          <w:b/>
          <w:bCs/>
          <w:sz w:val="28"/>
          <w:szCs w:val="28"/>
        </w:rPr>
      </w:pPr>
      <w:r>
        <w:rPr>
          <w:rFonts w:ascii="Times New Roman" w:hAnsi="Times New Roman" w:cs="Times New Roman"/>
          <w:b/>
          <w:bCs/>
          <w:sz w:val="28"/>
          <w:szCs w:val="28"/>
        </w:rPr>
        <w:t>Results of Reflections on the Drivers and Mechanisms of ESG Corporate Performance Creation Based on Stakeholder Perspective</w:t>
      </w:r>
    </w:p>
    <w:p w:rsidR="00006929" w:rsidRDefault="00B02CDC">
      <w:pPr>
        <w:jc w:val="center"/>
        <w:rPr>
          <w:rFonts w:ascii="Times New Roman" w:hAnsi="Times New Roman" w:cs="Times New Roman"/>
          <w:b/>
          <w:bCs/>
          <w:sz w:val="20"/>
          <w:szCs w:val="20"/>
        </w:rPr>
      </w:pPr>
      <w:r>
        <w:rPr>
          <w:rFonts w:ascii="Times New Roman" w:hAnsi="Times New Roman" w:cs="Times New Roman"/>
          <w:b/>
          <w:bCs/>
          <w:sz w:val="20"/>
          <w:szCs w:val="20"/>
        </w:rPr>
        <w:t>Shuyu chen</w:t>
      </w:r>
      <w:r>
        <w:rPr>
          <w:rFonts w:ascii="Times New Roman" w:hAnsi="Times New Roman" w:cs="Times New Roman"/>
          <w:b/>
          <w:bCs/>
          <w:sz w:val="20"/>
          <w:szCs w:val="20"/>
          <w:vertAlign w:val="superscript"/>
        </w:rPr>
        <w:t>1</w:t>
      </w:r>
      <w:r>
        <w:rPr>
          <w:rFonts w:ascii="Times New Roman" w:hAnsi="Times New Roman" w:cs="Times New Roman" w:hint="eastAsia"/>
          <w:b/>
          <w:bCs/>
          <w:sz w:val="20"/>
          <w:szCs w:val="20"/>
          <w:vertAlign w:val="superscript"/>
        </w:rPr>
        <w:t>,a,</w:t>
      </w:r>
      <w:r>
        <w:rPr>
          <w:rFonts w:ascii="Times New Roman" w:eastAsia="等线" w:hAnsi="Times New Roman" w:cs="Times New Roman" w:hint="eastAsia"/>
          <w:bCs/>
          <w:sz w:val="20"/>
          <w:szCs w:val="20"/>
          <w:vertAlign w:val="superscript"/>
        </w:rPr>
        <w:t>*</w:t>
      </w:r>
      <w:r>
        <w:rPr>
          <w:rFonts w:ascii="Times New Roman" w:hAnsi="Times New Roman" w:cs="Times New Roman"/>
          <w:b/>
          <w:bCs/>
          <w:sz w:val="20"/>
          <w:szCs w:val="20"/>
        </w:rPr>
        <w:t>, Tianze Zhang</w:t>
      </w:r>
      <w:r>
        <w:rPr>
          <w:rFonts w:ascii="Times New Roman" w:hAnsi="Times New Roman" w:cs="Times New Roman"/>
          <w:b/>
          <w:bCs/>
          <w:sz w:val="20"/>
          <w:szCs w:val="20"/>
          <w:vertAlign w:val="superscript"/>
        </w:rPr>
        <w:t>2</w:t>
      </w:r>
      <w:r>
        <w:rPr>
          <w:rFonts w:ascii="Times New Roman" w:hAnsi="Times New Roman" w:cs="Times New Roman" w:hint="eastAsia"/>
          <w:b/>
          <w:bCs/>
          <w:sz w:val="20"/>
          <w:szCs w:val="20"/>
          <w:vertAlign w:val="superscript"/>
        </w:rPr>
        <w:t>,b</w:t>
      </w:r>
    </w:p>
    <w:p w:rsidR="00006929" w:rsidRDefault="00B02CDC">
      <w:pPr>
        <w:pStyle w:val="PINoSpace"/>
        <w:spacing w:line="360" w:lineRule="auto"/>
        <w:ind w:firstLine="0"/>
        <w:jc w:val="left"/>
        <w:rPr>
          <w:rFonts w:ascii="Times New Roman" w:hAnsi="Times New Roman" w:cs="Times New Roman"/>
          <w:bCs/>
          <w:spacing w:val="-2"/>
          <w:sz w:val="20"/>
          <w:szCs w:val="20"/>
        </w:rPr>
      </w:pPr>
      <w:r>
        <w:rPr>
          <w:rFonts w:ascii="Times New Roman" w:hAnsi="Times New Roman" w:cs="Times New Roman"/>
          <w:sz w:val="20"/>
          <w:szCs w:val="20"/>
          <w:vertAlign w:val="superscript"/>
        </w:rPr>
        <w:t>1</w:t>
      </w:r>
      <w:r>
        <w:rPr>
          <w:rFonts w:ascii="Times New Roman" w:hAnsi="Times New Roman" w:cs="Times New Roman"/>
          <w:bCs/>
          <w:spacing w:val="-2"/>
          <w:sz w:val="20"/>
          <w:szCs w:val="20"/>
        </w:rPr>
        <w:t>Hong Kong Institute of Business Studies, Lingnan University Hong Kong, China</w:t>
      </w:r>
    </w:p>
    <w:p w:rsidR="00006929" w:rsidRDefault="00B02CDC">
      <w:pPr>
        <w:pStyle w:val="PINoSpace"/>
        <w:spacing w:line="360" w:lineRule="auto"/>
        <w:ind w:firstLine="0"/>
        <w:jc w:val="left"/>
        <w:rPr>
          <w:rFonts w:ascii="Times New Roman" w:hAnsi="Times New Roman" w:cs="Times New Roman"/>
          <w:bCs/>
          <w:spacing w:val="-2"/>
          <w:sz w:val="20"/>
          <w:szCs w:val="20"/>
        </w:rPr>
      </w:pPr>
      <w:r>
        <w:rPr>
          <w:rFonts w:ascii="Times New Roman" w:hAnsi="Times New Roman" w:cs="Times New Roman"/>
          <w:sz w:val="20"/>
          <w:szCs w:val="20"/>
          <w:vertAlign w:val="superscript"/>
        </w:rPr>
        <w:t>2</w:t>
      </w:r>
      <w:r>
        <w:rPr>
          <w:rFonts w:ascii="Times New Roman" w:hAnsi="Times New Roman" w:cs="Times New Roman"/>
          <w:bCs/>
          <w:spacing w:val="-2"/>
          <w:sz w:val="20"/>
          <w:szCs w:val="20"/>
        </w:rPr>
        <w:t xml:space="preserve">School of Data </w:t>
      </w:r>
      <w:r>
        <w:rPr>
          <w:rFonts w:ascii="Times New Roman" w:hAnsi="Times New Roman" w:cs="Times New Roman"/>
          <w:bCs/>
          <w:spacing w:val="-2"/>
          <w:sz w:val="20"/>
          <w:szCs w:val="20"/>
        </w:rPr>
        <w:t>Science, Lingnan University Hong Kong, China</w:t>
      </w:r>
    </w:p>
    <w:p w:rsidR="00006929" w:rsidRDefault="00B02CDC">
      <w:pPr>
        <w:spacing w:line="360" w:lineRule="auto"/>
        <w:jc w:val="left"/>
        <w:rPr>
          <w:rFonts w:ascii="Times New Roman" w:hAnsi="Times New Roman" w:cs="Times New Roman"/>
          <w:bCs/>
          <w:sz w:val="20"/>
          <w:szCs w:val="20"/>
        </w:rPr>
      </w:pPr>
      <w:r>
        <w:rPr>
          <w:rFonts w:ascii="Palatino Linotype" w:eastAsia="等线" w:hAnsi="Palatino Linotype" w:cs="Times New Roman" w:hint="eastAsia"/>
          <w:bCs/>
          <w:sz w:val="20"/>
          <w:szCs w:val="20"/>
          <w:vertAlign w:val="superscript"/>
        </w:rPr>
        <w:t>a</w:t>
      </w:r>
      <w:r>
        <w:rPr>
          <w:rFonts w:ascii="Times New Roman" w:hAnsi="Times New Roman" w:cs="Times New Roman"/>
          <w:bCs/>
          <w:sz w:val="20"/>
          <w:szCs w:val="20"/>
        </w:rPr>
        <w:t>chenshuyu2023@163.com</w:t>
      </w:r>
    </w:p>
    <w:p w:rsidR="00006929" w:rsidRDefault="00B02CDC">
      <w:pPr>
        <w:spacing w:line="360" w:lineRule="auto"/>
        <w:jc w:val="left"/>
        <w:rPr>
          <w:rFonts w:ascii="Times New Roman" w:hAnsi="Times New Roman" w:cs="Times New Roman"/>
          <w:bCs/>
          <w:sz w:val="20"/>
          <w:szCs w:val="20"/>
        </w:rPr>
      </w:pPr>
      <w:r>
        <w:rPr>
          <w:rFonts w:ascii="Palatino Linotype" w:eastAsia="等线" w:hAnsi="Palatino Linotype" w:cs="Times New Roman" w:hint="eastAsia"/>
          <w:bCs/>
          <w:sz w:val="20"/>
          <w:szCs w:val="20"/>
          <w:vertAlign w:val="superscript"/>
        </w:rPr>
        <w:t>b</w:t>
      </w:r>
      <w:r>
        <w:rPr>
          <w:rFonts w:ascii="Times New Roman" w:hAnsi="Times New Roman" w:cs="Times New Roman"/>
          <w:bCs/>
          <w:sz w:val="20"/>
          <w:szCs w:val="20"/>
        </w:rPr>
        <w:t>tianzezhang@ln,hk</w:t>
      </w:r>
    </w:p>
    <w:p w:rsidR="00006929" w:rsidRDefault="00006929">
      <w:pPr>
        <w:spacing w:line="360" w:lineRule="auto"/>
        <w:jc w:val="left"/>
        <w:rPr>
          <w:rFonts w:ascii="Times New Roman" w:hAnsi="Times New Roman" w:cs="Times New Roman"/>
          <w:bCs/>
        </w:rPr>
      </w:pPr>
    </w:p>
    <w:p w:rsidR="00006929" w:rsidRDefault="00B02CDC">
      <w:pPr>
        <w:spacing w:line="360" w:lineRule="auto"/>
        <w:rPr>
          <w:rFonts w:ascii="Times New Roman" w:hAnsi="Times New Roman" w:cs="Times New Roman"/>
          <w:b/>
          <w:bCs/>
        </w:rPr>
      </w:pPr>
      <w:r>
        <w:rPr>
          <w:rFonts w:ascii="Times New Roman" w:hAnsi="Times New Roman" w:cs="Times New Roman"/>
          <w:b/>
          <w:bCs/>
        </w:rPr>
        <w:t xml:space="preserve">Abstract: </w:t>
      </w:r>
      <w:r>
        <w:rPr>
          <w:rFonts w:ascii="Times New Roman" w:hAnsi="Times New Roman" w:cs="Times New Roman"/>
        </w:rPr>
        <w:t>The ESG concept, as a visual expression of the concept of sustainable development, plays an important role in the development of China's current economic cons</w:t>
      </w:r>
      <w:r>
        <w:rPr>
          <w:rFonts w:ascii="Times New Roman" w:hAnsi="Times New Roman" w:cs="Times New Roman"/>
        </w:rPr>
        <w:t>truction. As the main body of the market economy, enterprises are also an important carrier for realizing high-quality economic development and sustainable development of the society, and the ESG performance of enterprises has been highly valued by all wal</w:t>
      </w:r>
      <w:r>
        <w:rPr>
          <w:rFonts w:ascii="Times New Roman" w:hAnsi="Times New Roman" w:cs="Times New Roman"/>
        </w:rPr>
        <w:t>ks of life, which advocates that enterprises should pay attention to the financial performance and at the same time, explore the performance of the environment, social responsibility, and corporate governance, so as to promote the enterprises to accurately</w:t>
      </w:r>
      <w:r>
        <w:rPr>
          <w:rFonts w:ascii="Times New Roman" w:hAnsi="Times New Roman" w:cs="Times New Roman"/>
        </w:rPr>
        <w:t xml:space="preserve"> identify the opportunities and risks in the more and more competitive market environment, and comprehensively practice the path of sustainable development. development path. Therefore, after understanding the ESG driving model and the role of internal and</w:t>
      </w:r>
      <w:r>
        <w:rPr>
          <w:rFonts w:ascii="Times New Roman" w:hAnsi="Times New Roman" w:cs="Times New Roman"/>
        </w:rPr>
        <w:t xml:space="preserve"> external stakeholders, this paper starts from the perspective of stakeholder support to explore the impact of an enterprise's ESG performance on its performance, and to validate the impact of its ESG performance on the enterprise's bi-dimensional innovati</w:t>
      </w:r>
      <w:r>
        <w:rPr>
          <w:rFonts w:ascii="Times New Roman" w:hAnsi="Times New Roman" w:cs="Times New Roman"/>
        </w:rPr>
        <w:t>on and its path, so as to obtain the results of the relevant impact analysis.</w:t>
      </w:r>
    </w:p>
    <w:p w:rsidR="00006929" w:rsidRDefault="00B02CDC">
      <w:pPr>
        <w:spacing w:line="360" w:lineRule="auto"/>
        <w:rPr>
          <w:rFonts w:ascii="Times New Roman" w:hAnsi="Times New Roman" w:cs="Times New Roman"/>
          <w:b/>
          <w:bCs/>
        </w:rPr>
      </w:pPr>
      <w:r>
        <w:rPr>
          <w:rFonts w:ascii="Times New Roman" w:hAnsi="Times New Roman" w:cs="Times New Roman"/>
          <w:b/>
          <w:bCs/>
        </w:rPr>
        <w:t xml:space="preserve">Keywords: </w:t>
      </w:r>
      <w:r>
        <w:rPr>
          <w:rFonts w:ascii="Times New Roman" w:hAnsi="Times New Roman" w:cs="Times New Roman"/>
        </w:rPr>
        <w:t>stakeholders; ESG; corporate performance; market response; market performance</w:t>
      </w:r>
    </w:p>
    <w:p w:rsidR="00006929" w:rsidRDefault="00B02CDC">
      <w:pPr>
        <w:spacing w:line="360" w:lineRule="auto"/>
        <w:ind w:firstLineChars="200" w:firstLine="422"/>
        <w:rPr>
          <w:rFonts w:ascii="Times New Roman" w:hAnsi="Times New Roman" w:cs="Times New Roman"/>
          <w:b/>
          <w:bCs/>
        </w:rPr>
      </w:pPr>
      <w:r>
        <w:rPr>
          <w:rFonts w:ascii="Times New Roman" w:hAnsi="Times New Roman" w:cs="Times New Roman"/>
          <w:b/>
          <w:bCs/>
        </w:rPr>
        <w:t>1. ESG Driven Model</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this paper, the study starts from the perspective of internal and e</w:t>
      </w:r>
      <w:r>
        <w:rPr>
          <w:rFonts w:ascii="Times New Roman" w:hAnsi="Times New Roman" w:cs="Times New Roman"/>
        </w:rPr>
        <w:t xml:space="preserve">xternal stakeholder drive, and clarifies that the internal stakeholder drive includes both shareholders and employees, and the </w:t>
      </w:r>
      <w:r>
        <w:rPr>
          <w:rFonts w:ascii="Times New Roman" w:hAnsi="Times New Roman" w:cs="Times New Roman"/>
        </w:rPr>
        <w:lastRenderedPageBreak/>
        <w:t>internal stakeholder drive includes consumers, partners and competitors, the government, and the society Based on this, we constr</w:t>
      </w:r>
      <w:r>
        <w:rPr>
          <w:rFonts w:ascii="Times New Roman" w:hAnsi="Times New Roman" w:cs="Times New Roman"/>
        </w:rPr>
        <w:t>uct a stakeholder-centered drive model, and the main structure is shown in Figure 1 below:</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noProof/>
          <w:lang w:eastAsia="en-US"/>
        </w:rPr>
        <w:drawing>
          <wp:inline distT="0" distB="0" distL="114300" distR="114300">
            <wp:extent cx="5242560" cy="585216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6"/>
                    <a:stretch>
                      <a:fillRect/>
                    </a:stretch>
                  </pic:blipFill>
                  <pic:spPr>
                    <a:xfrm>
                      <a:off x="0" y="0"/>
                      <a:ext cx="5242560" cy="5852160"/>
                    </a:xfrm>
                    <a:prstGeom prst="rect">
                      <a:avLst/>
                    </a:prstGeom>
                    <a:noFill/>
                    <a:ln>
                      <a:noFill/>
                    </a:ln>
                  </pic:spPr>
                </pic:pic>
              </a:graphicData>
            </a:graphic>
          </wp:inline>
        </w:drawing>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Fig. 1 Structure of the ESG driver model</w:t>
      </w:r>
    </w:p>
    <w:p w:rsidR="00006929" w:rsidRDefault="00B02CDC">
      <w:pPr>
        <w:spacing w:line="360" w:lineRule="auto"/>
        <w:ind w:firstLineChars="200" w:firstLine="420"/>
        <w:rPr>
          <w:rFonts w:ascii="Times New Roman" w:hAnsi="Times New Roman" w:cs="Times New Roman"/>
          <w:b/>
          <w:bCs/>
        </w:rPr>
      </w:pPr>
      <w:r>
        <w:rPr>
          <w:rFonts w:ascii="Times New Roman" w:hAnsi="Times New Roman" w:cs="Times New Roman"/>
        </w:rPr>
        <w:t>Combined with the above model, it can be seen that the employees who are in the internal stakeholders can directly improve</w:t>
      </w:r>
      <w:r>
        <w:rPr>
          <w:rFonts w:ascii="Times New Roman" w:hAnsi="Times New Roman" w:cs="Times New Roman"/>
        </w:rPr>
        <w:t xml:space="preserve"> the acquired performance by participating in the production and operation activities of the enterprise, and the ESG disclosure information of the enterprise will reduce the regulatory cost of the shareholders and improve the investment benefit of the shar</w:t>
      </w:r>
      <w:r>
        <w:rPr>
          <w:rFonts w:ascii="Times New Roman" w:hAnsi="Times New Roman" w:cs="Times New Roman"/>
        </w:rPr>
        <w:t xml:space="preserve">eholders; the consumers who are in the external stakeholders can realize the increase of the </w:t>
      </w:r>
      <w:r>
        <w:rPr>
          <w:rFonts w:ascii="Times New Roman" w:hAnsi="Times New Roman" w:cs="Times New Roman"/>
        </w:rPr>
        <w:lastRenderedPageBreak/>
        <w:t>enterprise performance through the purchasing behaviors, and its three can increase the performance of the enterprise by exerting pressure on the enterprise, which</w:t>
      </w:r>
      <w:r>
        <w:rPr>
          <w:rFonts w:ascii="Times New Roman" w:hAnsi="Times New Roman" w:cs="Times New Roman"/>
        </w:rPr>
        <w:t xml:space="preserve"> will prompt the enterprise to positively fulfill ESG responsibilities and indirectly increase corporate development performance. From an overall perspective, internal stakeholders can use direct ways to participate in corporate business activities to posi</w:t>
      </w:r>
      <w:r>
        <w:rPr>
          <w:rFonts w:ascii="Times New Roman" w:hAnsi="Times New Roman" w:cs="Times New Roman"/>
        </w:rPr>
        <w:t xml:space="preserve">tively influence corporate ESG performance, while external stakeholders choose different ways to promote ESG. Under the joint influence of internal and external stakeholders, enterprises are more inclined to actively improve their ESG performance in order </w:t>
      </w:r>
      <w:r>
        <w:rPr>
          <w:rFonts w:ascii="Times New Roman" w:hAnsi="Times New Roman" w:cs="Times New Roman"/>
        </w:rPr>
        <w:t>to maintain their market competitiveness and position while realizing high-quality transformation and sustainable development.</w:t>
      </w:r>
    </w:p>
    <w:p w:rsidR="00006929" w:rsidRDefault="00B02CDC">
      <w:pPr>
        <w:spacing w:line="360" w:lineRule="auto"/>
        <w:ind w:firstLineChars="200" w:firstLine="422"/>
        <w:rPr>
          <w:rFonts w:ascii="Times New Roman" w:hAnsi="Times New Roman" w:cs="Times New Roman"/>
          <w:b/>
          <w:bCs/>
        </w:rPr>
      </w:pPr>
      <w:r>
        <w:rPr>
          <w:rFonts w:ascii="Times New Roman" w:hAnsi="Times New Roman" w:cs="Times New Roman"/>
          <w:b/>
          <w:bCs/>
        </w:rPr>
        <w:t>2. Internal and external stakeholder-driven enterprises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2.1 Internal stakeholders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Employees and shareholders, as internal stakeho</w:t>
      </w:r>
      <w:r>
        <w:rPr>
          <w:rFonts w:ascii="Times New Roman" w:hAnsi="Times New Roman" w:cs="Times New Roman"/>
        </w:rPr>
        <w:t>lders of the enterprise, will be directly involved in the economic activities of the enterprise and have a close connection with the creation of the enterprise performance, the enterprise can only realize the corresponding business objectives by maintainin</w:t>
      </w:r>
      <w:r>
        <w:rPr>
          <w:rFonts w:ascii="Times New Roman" w:hAnsi="Times New Roman" w:cs="Times New Roman"/>
        </w:rPr>
        <w:t>g the attraction of internal stakeholders, proposing appropriate development strategies and truly meeting their development needs. On the one hand, shareholders, as the source of capital provision for the enterprise, comprehensively think about the investm</w:t>
      </w:r>
      <w:r>
        <w:rPr>
          <w:rFonts w:ascii="Times New Roman" w:hAnsi="Times New Roman" w:cs="Times New Roman"/>
        </w:rPr>
        <w:t>ent risks faced in the development of practice, and systematically study the operating conditions and profitability of the enterprise. High-quality ESG performance can effectively constrain the rights and interests of management, alleviate the degree of in</w:t>
      </w:r>
      <w:r>
        <w:rPr>
          <w:rFonts w:ascii="Times New Roman" w:hAnsi="Times New Roman" w:cs="Times New Roman"/>
        </w:rPr>
        <w:t>formation asymmetry, accumulate more fertility capital, and reduce the occurrence of occasional risk events, thus enhancing the investment efficiency of the enterprise. For investment personnel, corporate ESG performance is one of the main influencing fact</w:t>
      </w:r>
      <w:r>
        <w:rPr>
          <w:rFonts w:ascii="Times New Roman" w:hAnsi="Times New Roman" w:cs="Times New Roman"/>
        </w:rPr>
        <w:t>ors to be considered in investment decision-making, with the aim of fully grasping the basic situation of the investment and prompting the enterprise to actively fulfill its ESG responsibilities while obtaining more efficient benefits. On the movie side, e</w:t>
      </w:r>
      <w:r>
        <w:rPr>
          <w:rFonts w:ascii="Times New Roman" w:hAnsi="Times New Roman" w:cs="Times New Roman"/>
        </w:rPr>
        <w:t>mployees are the direct creators of corporate performance, entrepreneurship and corporate culture, as well as the most core stakeholders of corporate development, and viewing them as the core secondary indicators under the social framework in the ESG asses</w:t>
      </w:r>
      <w:r>
        <w:rPr>
          <w:rFonts w:ascii="Times New Roman" w:hAnsi="Times New Roman" w:cs="Times New Roman"/>
        </w:rPr>
        <w:t xml:space="preserve">sment system can not only comprehensively examine the credit risk of corporate development, but also effectively warn of </w:t>
      </w:r>
      <w:r>
        <w:rPr>
          <w:rFonts w:ascii="Times New Roman" w:hAnsi="Times New Roman" w:cs="Times New Roman"/>
        </w:rPr>
        <w:lastRenderedPageBreak/>
        <w:t>the risk of corporate innovation. Among them, the driving role for employees is shown in Figure 2 below:</w:t>
      </w:r>
    </w:p>
    <w:p w:rsidR="00006929" w:rsidRDefault="00B02CDC">
      <w:pPr>
        <w:spacing w:line="360" w:lineRule="auto"/>
        <w:rPr>
          <w:rFonts w:ascii="Times New Roman" w:hAnsi="Times New Roman" w:cs="Times New Roman"/>
        </w:rPr>
      </w:pPr>
      <w:r>
        <w:rPr>
          <w:rFonts w:ascii="Times New Roman" w:hAnsi="Times New Roman" w:cs="Times New Roman"/>
          <w:noProof/>
          <w:lang w:eastAsia="en-US"/>
        </w:rPr>
        <w:drawing>
          <wp:inline distT="0" distB="0" distL="114300" distR="114300">
            <wp:extent cx="5444490" cy="2085975"/>
            <wp:effectExtent l="0" t="0" r="11430" b="190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7"/>
                    <a:stretch>
                      <a:fillRect/>
                    </a:stretch>
                  </pic:blipFill>
                  <pic:spPr>
                    <a:xfrm>
                      <a:off x="0" y="0"/>
                      <a:ext cx="5444490" cy="2085975"/>
                    </a:xfrm>
                    <a:prstGeom prst="rect">
                      <a:avLst/>
                    </a:prstGeom>
                    <a:noFill/>
                    <a:ln>
                      <a:noFill/>
                    </a:ln>
                  </pic:spPr>
                </pic:pic>
              </a:graphicData>
            </a:graphic>
          </wp:inline>
        </w:drawing>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Fig. 2 Structure of the role</w:t>
      </w:r>
      <w:r>
        <w:rPr>
          <w:rFonts w:ascii="Times New Roman" w:hAnsi="Times New Roman" w:cs="Times New Roman"/>
        </w:rPr>
        <w:t xml:space="preserve"> mechanism of driving employees based on ESG theory</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2.2 External stakeholders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External stakeholders refer to the individuals or groups that participate in the business activities of the enterprise in an indirect way, which mainly include consumer groups, g</w:t>
      </w:r>
      <w:r>
        <w:rPr>
          <w:rFonts w:ascii="Times New Roman" w:hAnsi="Times New Roman" w:cs="Times New Roman"/>
        </w:rPr>
        <w:t>overnment departments, partners, competitors and social organizations. Among them, consumers are the fundamental way for enterprises to obtain capital flow, and satisfied customers are a kind of special assets, which can bring future economic returns for t</w:t>
      </w:r>
      <w:r>
        <w:rPr>
          <w:rFonts w:ascii="Times New Roman" w:hAnsi="Times New Roman" w:cs="Times New Roman"/>
        </w:rPr>
        <w:t>he development of the enterprise.The enterprises with good ESG can provide high-quality services for the consumer group, help the consumer group to solve the problems of the products, and positively guide the consumers to establish the sustainable developm</w:t>
      </w:r>
      <w:r>
        <w:rPr>
          <w:rFonts w:ascii="Times New Roman" w:hAnsi="Times New Roman" w:cs="Times New Roman"/>
        </w:rPr>
        <w:t>ent of the concept of consumption, and pay attention to enhancing the adhesion of consumers to the enterprise, which can further improve the credibility of the enterprise and the effectiveness of marketing and promotion. further increase the enterprise cre</w:t>
      </w:r>
      <w:r>
        <w:rPr>
          <w:rFonts w:ascii="Times New Roman" w:hAnsi="Times New Roman" w:cs="Times New Roman"/>
        </w:rPr>
        <w:t>dibility and the effectiveness of marketing promotion. The corresponding driving mechanism is shown in Figure 3 below:</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noProof/>
          <w:lang w:eastAsia="en-US"/>
        </w:rPr>
        <w:lastRenderedPageBreak/>
        <w:drawing>
          <wp:inline distT="0" distB="0" distL="114300" distR="114300">
            <wp:extent cx="5274310" cy="1985645"/>
            <wp:effectExtent l="0" t="0" r="13970" b="10795"/>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pic:cNvPicPr>
                      <a:picLocks noChangeAspect="1"/>
                    </pic:cNvPicPr>
                  </pic:nvPicPr>
                  <pic:blipFill>
                    <a:blip r:embed="rId8"/>
                    <a:stretch>
                      <a:fillRect/>
                    </a:stretch>
                  </pic:blipFill>
                  <pic:spPr>
                    <a:xfrm>
                      <a:off x="0" y="0"/>
                      <a:ext cx="5274310" cy="1985645"/>
                    </a:xfrm>
                    <a:prstGeom prst="rect">
                      <a:avLst/>
                    </a:prstGeom>
                    <a:noFill/>
                    <a:ln>
                      <a:noFill/>
                    </a:ln>
                  </pic:spPr>
                </pic:pic>
              </a:graphicData>
            </a:graphic>
          </wp:inline>
        </w:drawing>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Fig. 3 Structure of the mechanism of action for driving consumer groups based on ESG theory</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 xml:space="preserve">Partners and competitors are also very </w:t>
      </w:r>
      <w:r>
        <w:rPr>
          <w:rFonts w:ascii="Times New Roman" w:hAnsi="Times New Roman" w:cs="Times New Roman"/>
        </w:rPr>
        <w:t>important external stakeholders, if the enterprise has good ESG performance, then it proves that the enterprise has better economic efficiency, good performance in environmental, social responsibility and corporate governance benefits, and can make more pa</w:t>
      </w:r>
      <w:r>
        <w:rPr>
          <w:rFonts w:ascii="Times New Roman" w:hAnsi="Times New Roman" w:cs="Times New Roman"/>
        </w:rPr>
        <w:t>rtners understand the enterprise financial situation, and actively participate in economic construction cooperation. From the competitor's perspective, the competitor's ESG performance affects the consumer group's consumption concept and purchasing behavio</w:t>
      </w:r>
      <w:r>
        <w:rPr>
          <w:rFonts w:ascii="Times New Roman" w:hAnsi="Times New Roman" w:cs="Times New Roman"/>
        </w:rPr>
        <w:t>r. When the consumer group's consumption concepts are changing towards sustainability, if the ESG performance of the enterprise stops, then customers are likely to be lost.</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According to China's basic national conditions, government departments as an import</w:t>
      </w:r>
      <w:r>
        <w:rPr>
          <w:rFonts w:ascii="Times New Roman" w:hAnsi="Times New Roman" w:cs="Times New Roman"/>
        </w:rPr>
        <w:t>ant main body to participate in social and public affairs, the social responsibility obligation of enterprises and the willingness to participate in social and public affairs is low.ESG concepts are in line with the requirements of high-quality and sustain</w:t>
      </w:r>
      <w:r>
        <w:rPr>
          <w:rFonts w:ascii="Times New Roman" w:hAnsi="Times New Roman" w:cs="Times New Roman"/>
        </w:rPr>
        <w:t xml:space="preserve">able development, and have a positive effect on the improvement of the employment environment, social responsibility, and protection of the ecological environment, etc., therefore, the government departments will put forward relevant preferential policies </w:t>
      </w:r>
      <w:r>
        <w:rPr>
          <w:rFonts w:ascii="Times New Roman" w:hAnsi="Times New Roman" w:cs="Times New Roman"/>
        </w:rPr>
        <w:t xml:space="preserve">to urge the enterprises to conscientiously perform the ESG responsibilities. Although government departments have a positive impact on the supervision of enterprises' environmental and social responsibilities, under some conditions, government departments </w:t>
      </w:r>
      <w:r>
        <w:rPr>
          <w:rFonts w:ascii="Times New Roman" w:hAnsi="Times New Roman" w:cs="Times New Roman"/>
        </w:rPr>
        <w:t xml:space="preserve">are faced with a dilemma, and some enterprises will let their economic activities destroy the ecological environment in order to maximize their profits. In response to this phenomenon, </w:t>
      </w:r>
      <w:r>
        <w:rPr>
          <w:rFonts w:ascii="Times New Roman" w:hAnsi="Times New Roman" w:cs="Times New Roman"/>
        </w:rPr>
        <w:lastRenderedPageBreak/>
        <w:t xml:space="preserve">enterprises need to be supervised by society when fulfilling their ESG </w:t>
      </w:r>
      <w:r>
        <w:rPr>
          <w:rFonts w:ascii="Times New Roman" w:hAnsi="Times New Roman" w:cs="Times New Roman"/>
        </w:rPr>
        <w:t>responsibilities, which can guide public opinion to reduce the economic benefits of enterprises, effectively supervise the development behavior of enterprises, and prompt enterprises to strictly fulfill their ESG responsibilities.</w:t>
      </w:r>
    </w:p>
    <w:p w:rsidR="00006929" w:rsidRDefault="00B02CDC">
      <w:pPr>
        <w:spacing w:line="360" w:lineRule="auto"/>
        <w:ind w:firstLineChars="200" w:firstLine="422"/>
        <w:rPr>
          <w:rFonts w:ascii="Times New Roman" w:hAnsi="Times New Roman" w:cs="Times New Roman"/>
        </w:rPr>
      </w:pPr>
      <w:r>
        <w:rPr>
          <w:rFonts w:ascii="Times New Roman" w:hAnsi="Times New Roman" w:cs="Times New Roman"/>
          <w:b/>
          <w:bCs/>
        </w:rPr>
        <w:t xml:space="preserve">3. A study of the impact </w:t>
      </w:r>
      <w:r>
        <w:rPr>
          <w:rFonts w:ascii="Times New Roman" w:hAnsi="Times New Roman" w:cs="Times New Roman"/>
          <w:b/>
          <w:bCs/>
        </w:rPr>
        <w:t>of a firm's performance on firm performance</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3.1 Financial performance evaluation methods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Considering stakeholders as an important criterion for categorizing the data study, looking for financial information related to them in the database utilizing the run</w:t>
      </w:r>
      <w:r>
        <w:rPr>
          <w:rFonts w:ascii="Times New Roman" w:hAnsi="Times New Roman" w:cs="Times New Roman"/>
        </w:rPr>
        <w:t xml:space="preserve"> to transform the financial data metrics into composite metrics, extracting multiple constituent scores, and making sure that each of the constituent scores presents as much of the company's financial information as possible.</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First, the original data matri</w:t>
      </w:r>
      <w:r>
        <w:rPr>
          <w:rFonts w:ascii="Times New Roman" w:hAnsi="Times New Roman" w:cs="Times New Roman"/>
        </w:rPr>
        <w:t>x is constructed based on the sample companies and the selected financial indicators. Assuming that n sample companies are included vertically and m financial indicators are included horizontally in the X matrix of financial performance evaluation, the fol</w:t>
      </w:r>
      <w:r>
        <w:rPr>
          <w:rFonts w:ascii="Times New Roman" w:hAnsi="Times New Roman" w:cs="Times New Roman"/>
        </w:rPr>
        <w:t>lowing matrix can be obtained:</w:t>
      </w:r>
    </w:p>
    <w:p w:rsidR="00006929" w:rsidRDefault="00B02CDC">
      <w:pPr>
        <w:spacing w:line="360" w:lineRule="auto"/>
        <w:ind w:firstLineChars="200" w:firstLine="420"/>
        <w:rPr>
          <w:rFonts w:ascii="Times New Roman" w:hAnsi="Times New Roman" w:cs="Times New Roman"/>
        </w:rPr>
      </w:pPr>
      <m:oMathPara>
        <m:oMath>
          <m:r>
            <w:rPr>
              <w:rFonts w:ascii="Cambria Math" w:hAnsi="Cambria Math" w:cs="Times New Roman"/>
            </w:rPr>
            <m:t>X</m:t>
          </m:r>
          <m:r>
            <w:rPr>
              <w:rFonts w:ascii="Cambria Math" w:hAnsi="Cambria Math" w:cs="Times New Roman"/>
            </w:rPr>
            <m:t>=</m:t>
          </m:r>
          <m:d>
            <m:dPr>
              <m:ctrlPr>
                <w:rPr>
                  <w:rFonts w:ascii="Cambria Math" w:hAnsi="Cambria Math" w:cs="Times New Roman"/>
                </w:rPr>
              </m:ctrlPr>
            </m:dPr>
            <m:e>
              <m:m>
                <m:mPr>
                  <m:plcHide m:val="1"/>
                  <m:mcs>
                    <m:mc>
                      <m:mcPr>
                        <m:count m:val="4"/>
                        <m:mcJc m:val="center"/>
                      </m:mcPr>
                    </m:mc>
                  </m:mcs>
                  <m:ctrlPr>
                    <w:rPr>
                      <w:rFonts w:ascii="Cambria Math" w:hAnsi="Cambria Math" w:cs="Times New Roman"/>
                    </w:rPr>
                  </m:ctrlPr>
                </m:mPr>
                <m:m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11</m:t>
                        </m:r>
                      </m:sub>
                    </m:sSub>
                  </m:e>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12</m:t>
                        </m:r>
                      </m:sub>
                    </m:sSub>
                  </m:e>
                  <m:e>
                    <m:r>
                      <w:rPr>
                        <w:rFonts w:ascii="Cambria Math" w:hAnsi="Cambria Math" w:cs="Times New Roman"/>
                      </w:rPr>
                      <m:t>...</m:t>
                    </m:r>
                  </m:e>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1</m:t>
                        </m:r>
                        <m:r>
                          <w:rPr>
                            <w:rFonts w:ascii="Cambria Math" w:hAnsi="Cambria Math" w:cs="Times New Roman"/>
                          </w:rPr>
                          <m:t>p</m:t>
                        </m:r>
                      </m:sub>
                    </m:sSub>
                  </m:e>
                </m:mr>
                <m:m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21</m:t>
                        </m:r>
                      </m:sub>
                    </m:sSub>
                  </m:e>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22</m:t>
                        </m:r>
                      </m:sub>
                    </m:sSub>
                  </m:e>
                  <m:e>
                    <m:r>
                      <w:rPr>
                        <w:rFonts w:ascii="Cambria Math" w:hAnsi="Cambria Math" w:cs="Times New Roman"/>
                      </w:rPr>
                      <m:t>...</m:t>
                    </m:r>
                  </m:e>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2</m:t>
                        </m:r>
                        <m:r>
                          <w:rPr>
                            <w:rFonts w:ascii="Cambria Math" w:hAnsi="Cambria Math" w:cs="Times New Roman"/>
                          </w:rPr>
                          <m:t>p</m:t>
                        </m:r>
                      </m:sub>
                    </m:sSub>
                  </m:e>
                </m:mr>
                <m:mr>
                  <m:e>
                    <m:r>
                      <w:rPr>
                        <w:rFonts w:ascii="Cambria Math" w:hAnsi="Cambria Math" w:cs="Times New Roman"/>
                      </w:rPr>
                      <m:t>...</m:t>
                    </m:r>
                  </m:e>
                  <m:e>
                    <m:r>
                      <w:rPr>
                        <w:rFonts w:ascii="Cambria Math" w:hAnsi="Cambria Math" w:cs="Times New Roman"/>
                      </w:rPr>
                      <m:t>...</m:t>
                    </m:r>
                  </m:e>
                  <m:e>
                    <m:r>
                      <w:rPr>
                        <w:rFonts w:ascii="Cambria Math" w:hAnsi="Cambria Math" w:cs="Times New Roman"/>
                      </w:rPr>
                      <m:t>...</m:t>
                    </m:r>
                  </m:e>
                  <m:e>
                    <m:r>
                      <w:rPr>
                        <w:rFonts w:ascii="Cambria Math" w:hAnsi="Cambria Math" w:cs="Times New Roman"/>
                      </w:rPr>
                      <m:t>...</m:t>
                    </m:r>
                  </m:e>
                </m:mr>
                <m:m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n</m:t>
                        </m:r>
                        <m:r>
                          <w:rPr>
                            <w:rFonts w:ascii="Cambria Math" w:hAnsi="Cambria Math" w:cs="Times New Roman"/>
                          </w:rPr>
                          <m:t>1</m:t>
                        </m:r>
                      </m:sub>
                    </m:sSub>
                  </m:e>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n</m:t>
                        </m:r>
                        <m:r>
                          <w:rPr>
                            <w:rFonts w:ascii="Cambria Math" w:hAnsi="Cambria Math" w:cs="Times New Roman"/>
                          </w:rPr>
                          <m:t>2</m:t>
                        </m:r>
                      </m:sub>
                    </m:sSub>
                  </m:e>
                  <m:e>
                    <m:r>
                      <w:rPr>
                        <w:rFonts w:ascii="Cambria Math" w:hAnsi="Cambria Math" w:cs="Times New Roman"/>
                      </w:rPr>
                      <m:t>...</m:t>
                    </m:r>
                  </m:e>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np</m:t>
                        </m:r>
                      </m:sub>
                    </m:sSub>
                  </m:e>
                </m:mr>
              </m:m>
            </m:e>
          </m:d>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the above matrix, X</w:t>
      </w:r>
      <w:r>
        <w:rPr>
          <w:rFonts w:ascii="Times New Roman" w:hAnsi="Times New Roman" w:cs="Times New Roman"/>
          <w:vertAlign w:val="subscript"/>
        </w:rPr>
        <w:t>np</w:t>
      </w:r>
      <w:r>
        <w:rPr>
          <w:rFonts w:ascii="Times New Roman" w:hAnsi="Times New Roman" w:cs="Times New Roman"/>
        </w:rPr>
        <w:t>represents the pth financial indicator data of the nth listed company.</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 xml:space="preserve">Second, standardized processing of raw data, the corresponding </w:t>
      </w:r>
      <w:r>
        <w:rPr>
          <w:rFonts w:ascii="Times New Roman" w:hAnsi="Times New Roman" w:cs="Times New Roman"/>
        </w:rPr>
        <w:t>formula is as follows:</w:t>
      </w:r>
    </w:p>
    <w:p w:rsidR="00006929" w:rsidRDefault="00B02CDC">
      <w:pPr>
        <w:spacing w:line="360" w:lineRule="auto"/>
        <w:ind w:firstLineChars="200" w:firstLine="420"/>
        <w:rPr>
          <w:rFonts w:ascii="Times New Roman" w:hAnsi="Times New Roman" w:cs="Times New Roman"/>
        </w:rPr>
      </w:pPr>
      <m:oMathPara>
        <m:oMath>
          <m:sSubSup>
            <m:sSubSupPr>
              <m:ctrlPr>
                <w:rPr>
                  <w:rFonts w:ascii="Cambria Math" w:hAnsi="Cambria Math" w:cs="Times New Roman"/>
                </w:rPr>
              </m:ctrlPr>
            </m:sSubSupPr>
            <m:e>
              <m:r>
                <w:rPr>
                  <w:rFonts w:ascii="Cambria Math" w:hAnsi="Cambria Math" w:cs="Times New Roman"/>
                </w:rPr>
                <m:t>x</m:t>
              </m:r>
            </m:e>
            <m:sub>
              <m:r>
                <w:rPr>
                  <w:rFonts w:ascii="Cambria Math" w:hAnsi="Cambria Math" w:cs="Times New Roman"/>
                </w:rPr>
                <m:t>ij</m:t>
              </m:r>
            </m:sub>
            <m:sup>
              <m:r>
                <m:rPr>
                  <m:sty m:val="p"/>
                </m:rPr>
                <w:rPr>
                  <w:rFonts w:ascii="Cambria Math" w:hAnsi="Cambria Math" w:cs="Times New Roman"/>
                </w:rPr>
                <m:t>'</m:t>
              </m:r>
            </m:sup>
          </m:sSubSup>
          <m:r>
            <w:rPr>
              <w:rFonts w:ascii="Cambria Math" w:hAnsi="Cambria Math" w:cs="Times New Roman"/>
            </w:rPr>
            <m:t>=</m:t>
          </m:r>
          <m:f>
            <m:fPr>
              <m:ctrlPr>
                <w:rPr>
                  <w:rFonts w:ascii="Cambria Math" w:hAnsi="Cambria Math" w:cs="Times New Roman"/>
                </w:rPr>
              </m:ctrlPr>
            </m:fPr>
            <m:num>
              <m:r>
                <w:rPr>
                  <w:rFonts w:ascii="Cambria Math" w:hAnsi="Cambria Math" w:cs="Times New Roman"/>
                </w:rPr>
                <m:t>xij</m:t>
              </m:r>
              <m:r>
                <w:rPr>
                  <w:rFonts w:ascii="Cambria Math" w:hAnsi="Cambria Math" w:cs="Times New Roman"/>
                </w:rPr>
                <m:t>-</m:t>
              </m:r>
              <m:limUpp>
                <m:limUppPr>
                  <m:ctrlPr>
                    <w:rPr>
                      <w:rFonts w:ascii="Cambria Math" w:hAnsi="Cambria Math" w:cs="Times New Roman"/>
                    </w:rPr>
                  </m:ctrlPr>
                </m:limUppP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j</m:t>
                      </m:r>
                    </m:sub>
                  </m:sSub>
                </m:e>
                <m:lim>
                  <m:r>
                    <w:rPr>
                      <w:rFonts w:ascii="Cambria Math" w:hAnsi="Cambria Math" w:cs="Times New Roman"/>
                    </w:rPr>
                    <m:t>¯</m:t>
                  </m:r>
                </m:lim>
              </m:limUpp>
            </m:num>
            <m:den>
              <m:rad>
                <m:radPr>
                  <m:degHide m:val="1"/>
                  <m:ctrlPr>
                    <w:rPr>
                      <w:rFonts w:ascii="Cambria Math" w:hAnsi="Cambria Math" w:cs="Times New Roman"/>
                    </w:rPr>
                  </m:ctrlPr>
                </m:radPr>
                <m:deg/>
                <m:e>
                  <m:r>
                    <w:rPr>
                      <w:rFonts w:ascii="Cambria Math" w:hAnsi="Cambria Math" w:cs="Times New Roman"/>
                    </w:rPr>
                    <m:t>Var</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j</m:t>
                          </m:r>
                        </m:sub>
                      </m:sSub>
                    </m:e>
                  </m:d>
                </m:e>
              </m:rad>
            </m:den>
          </m:f>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the above equation,</w:t>
      </w:r>
      <m:oMath>
        <m:sSubSup>
          <m:sSubSupPr>
            <m:ctrlPr>
              <w:rPr>
                <w:rFonts w:ascii="Cambria Math" w:hAnsi="Cambria Math" w:cs="Times New Roman"/>
              </w:rPr>
            </m:ctrlPr>
          </m:sSubSupPr>
          <m:e>
            <m:r>
              <w:rPr>
                <w:rFonts w:ascii="Cambria Math" w:hAnsi="Cambria Math" w:cs="Times New Roman"/>
              </w:rPr>
              <m:t>x</m:t>
            </m:r>
          </m:e>
          <m:sub>
            <m:r>
              <w:rPr>
                <w:rFonts w:ascii="Cambria Math" w:hAnsi="Cambria Math" w:cs="Times New Roman"/>
              </w:rPr>
              <m:t>ij</m:t>
            </m:r>
          </m:sub>
          <m:sup>
            <m:r>
              <m:rPr>
                <m:sty m:val="p"/>
              </m:rPr>
              <w:rPr>
                <w:rFonts w:ascii="Cambria Math" w:hAnsi="Cambria Math" w:cs="Times New Roman"/>
              </w:rPr>
              <m:t>'</m:t>
            </m:r>
          </m:sup>
        </m:sSubSup>
      </m:oMath>
      <w:r>
        <w:rPr>
          <w:rFonts w:ascii="Times New Roman" w:hAnsi="Times New Roman" w:cs="Times New Roman"/>
        </w:rPr>
        <w:t xml:space="preserve"> represents the mean value of the variable and</w:t>
      </w:r>
      <m:oMath>
        <m:rad>
          <m:radPr>
            <m:degHide m:val="1"/>
            <m:ctrlPr>
              <w:rPr>
                <w:rFonts w:ascii="Cambria Math" w:hAnsi="Cambria Math" w:cs="Times New Roman"/>
              </w:rPr>
            </m:ctrlPr>
          </m:radPr>
          <m:deg/>
          <m:e>
            <m:r>
              <w:rPr>
                <w:rFonts w:ascii="Cambria Math" w:hAnsi="Cambria Math" w:cs="Times New Roman"/>
              </w:rPr>
              <m:t>Var</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j</m:t>
                    </m:r>
                  </m:sub>
                </m:sSub>
              </m:e>
            </m:d>
          </m:e>
        </m:rad>
      </m:oMath>
      <w:r>
        <w:rPr>
          <w:rFonts w:ascii="Times New Roman" w:hAnsi="Times New Roman" w:cs="Times New Roman"/>
        </w:rPr>
        <w:t xml:space="preserve"> represents the standard deviation of the variable.</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Third, to accurately determine the suitability of financial indic</w:t>
      </w:r>
      <w:r>
        <w:rPr>
          <w:rFonts w:ascii="Times New Roman" w:hAnsi="Times New Roman" w:cs="Times New Roman"/>
        </w:rPr>
        <w:t xml:space="preserve">ators for principal component analysis, the KMO value and the Bartlett's ball test can usually be regarded as the main basis, and only if the relevant indicators have a KMO value of more than 0.5, they meet the criteria for </w:t>
      </w:r>
      <w:r>
        <w:rPr>
          <w:rFonts w:ascii="Times New Roman" w:hAnsi="Times New Roman" w:cs="Times New Roman"/>
        </w:rPr>
        <w:lastRenderedPageBreak/>
        <w:t>principal component analysis.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Fo</w:t>
      </w:r>
      <w:r>
        <w:rPr>
          <w:rFonts w:ascii="Times New Roman" w:hAnsi="Times New Roman" w:cs="Times New Roman"/>
        </w:rPr>
        <w:t>urth, the principal components are extracted with the following formula:</w:t>
      </w:r>
    </w:p>
    <w:p w:rsidR="00006929" w:rsidRDefault="00B02CDC">
      <w:pPr>
        <w:spacing w:line="360" w:lineRule="auto"/>
        <w:ind w:firstLineChars="200" w:firstLine="420"/>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j</m:t>
              </m:r>
            </m:sub>
          </m:sSub>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λ</m:t>
                  </m:r>
                </m:e>
                <m:sub>
                  <m:r>
                    <w:rPr>
                      <w:rFonts w:ascii="Cambria Math" w:hAnsi="Cambria Math" w:cs="Times New Roman"/>
                    </w:rPr>
                    <m:t>j</m:t>
                  </m:r>
                </m:sub>
              </m:sSub>
            </m:num>
            <m:den>
              <m:nary>
                <m:naryPr>
                  <m:chr m:val="∑"/>
                  <m:limLoc m:val="undOvr"/>
                  <m:grow m:val="1"/>
                  <m:ctrlPr>
                    <w:rPr>
                      <w:rFonts w:ascii="Cambria Math" w:hAnsi="Cambria Math" w:cs="Times New Roman"/>
                    </w:rPr>
                  </m:ctrlPr>
                </m:naryPr>
                <m:sub>
                  <m:r>
                    <w:rPr>
                      <w:rFonts w:ascii="Cambria Math" w:hAnsi="Cambria Math" w:cs="Times New Roman"/>
                    </w:rPr>
                    <m:t>i</m:t>
                  </m:r>
                  <m:r>
                    <w:rPr>
                      <w:rFonts w:ascii="Cambria Math" w:hAnsi="Cambria Math" w:cs="Times New Roman"/>
                    </w:rPr>
                    <m:t>=1</m:t>
                  </m:r>
                </m:sub>
                <m:sup>
                  <m:r>
                    <w:rPr>
                      <w:rFonts w:ascii="Cambria Math" w:hAnsi="Cambria Math" w:cs="Times New Roman"/>
                    </w:rPr>
                    <m:t>p</m:t>
                  </m:r>
                </m:sup>
                <m:e>
                  <m:r>
                    <w:rPr>
                      <w:rFonts w:ascii="Cambria Math" w:hAnsi="Cambria Math" w:cs="Times New Roman"/>
                    </w:rPr>
                    <m:t> </m:t>
                  </m:r>
                </m:e>
              </m:nary>
              <m:sSub>
                <m:sSubPr>
                  <m:ctrlPr>
                    <w:rPr>
                      <w:rFonts w:ascii="Cambria Math" w:hAnsi="Cambria Math" w:cs="Times New Roman"/>
                    </w:rPr>
                  </m:ctrlPr>
                </m:sSubPr>
                <m:e>
                  <m:r>
                    <w:rPr>
                      <w:rFonts w:ascii="Cambria Math" w:hAnsi="Cambria Math" w:cs="Times New Roman"/>
                    </w:rPr>
                    <m:t>λ</m:t>
                  </m:r>
                </m:e>
                <m:sub>
                  <m:r>
                    <w:rPr>
                      <w:rFonts w:ascii="Cambria Math" w:hAnsi="Cambria Math" w:cs="Times New Roman"/>
                    </w:rPr>
                    <m:t>j</m:t>
                  </m:r>
                </m:sub>
              </m:sSub>
            </m:den>
          </m:f>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m</m:t>
              </m:r>
            </m:sub>
          </m:sSub>
          <m:r>
            <w:rPr>
              <w:rFonts w:ascii="Cambria Math" w:hAnsi="Cambria Math" w:cs="Times New Roman"/>
            </w:rPr>
            <m:t>=</m:t>
          </m:r>
          <m:nary>
            <m:naryPr>
              <m:chr m:val="∑"/>
              <m:limLoc m:val="undOvr"/>
              <m:grow m:val="1"/>
              <m:ctrlPr>
                <w:rPr>
                  <w:rFonts w:ascii="Cambria Math" w:hAnsi="Cambria Math" w:cs="Times New Roman"/>
                </w:rPr>
              </m:ctrlPr>
            </m:naryPr>
            <m:sub>
              <m:r>
                <w:rPr>
                  <w:rFonts w:ascii="Cambria Math" w:hAnsi="Cambria Math" w:cs="Times New Roman"/>
                </w:rPr>
                <m:t>j</m:t>
              </m:r>
              <m:r>
                <w:rPr>
                  <w:rFonts w:ascii="Cambria Math" w:hAnsi="Cambria Math" w:cs="Times New Roman"/>
                </w:rPr>
                <m:t>=1</m:t>
              </m:r>
            </m:sub>
            <m:sup>
              <m:r>
                <w:rPr>
                  <w:rFonts w:ascii="Cambria Math" w:hAnsi="Cambria Math" w:cs="Times New Roman"/>
                </w:rPr>
                <m:t>m</m:t>
              </m:r>
            </m:sup>
            <m:e>
              <m:r>
                <w:rPr>
                  <w:rFonts w:ascii="Cambria Math" w:hAnsi="Cambria Math" w:cs="Times New Roman"/>
                </w:rPr>
                <m:t> </m:t>
              </m:r>
            </m:e>
          </m:nary>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j</m:t>
              </m:r>
            </m:sub>
          </m:sSub>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the above equation, e</w:t>
      </w:r>
      <w:r>
        <w:rPr>
          <w:rFonts w:ascii="Times New Roman" w:hAnsi="Times New Roman" w:cs="Times New Roman"/>
          <w:vertAlign w:val="subscript"/>
        </w:rPr>
        <w:t>j</w:t>
      </w:r>
      <w:r>
        <w:rPr>
          <w:rFonts w:ascii="Times New Roman" w:hAnsi="Times New Roman" w:cs="Times New Roman"/>
        </w:rPr>
        <w:t>represents the contribution of a feature value and E</w:t>
      </w:r>
      <w:r>
        <w:rPr>
          <w:rFonts w:ascii="Times New Roman" w:hAnsi="Times New Roman" w:cs="Times New Roman"/>
          <w:vertAlign w:val="subscript"/>
        </w:rPr>
        <w:t>m</w:t>
      </w:r>
      <w:r>
        <w:rPr>
          <w:rFonts w:ascii="Times New Roman" w:hAnsi="Times New Roman" w:cs="Times New Roman"/>
        </w:rPr>
        <w:t xml:space="preserve">represents the sum of the contribution of the first m feature </w:t>
      </w:r>
      <w:r>
        <w:rPr>
          <w:rFonts w:ascii="Times New Roman" w:hAnsi="Times New Roman" w:cs="Times New Roman"/>
        </w:rPr>
        <w:t>values.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Fifth, specify the principal components and their corresponding formulas. After all the components have the meanings they represent, the corporate financial composite score function is obtained by calculating and analyzing the component scores as f</w:t>
      </w:r>
      <w:r>
        <w:rPr>
          <w:rFonts w:ascii="Times New Roman" w:hAnsi="Times New Roman" w:cs="Times New Roman"/>
        </w:rPr>
        <w:t>ollows:</w:t>
      </w:r>
    </w:p>
    <w:p w:rsidR="00006929" w:rsidRDefault="00B02CDC">
      <w:pPr>
        <w:spacing w:line="360" w:lineRule="auto"/>
        <w:ind w:firstLineChars="200" w:firstLine="420"/>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j</m:t>
              </m:r>
            </m:sub>
          </m:sSub>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r>
                    <w:rPr>
                      <w:rFonts w:ascii="Cambria Math" w:hAnsi="Cambria Math" w:cs="Times New Roman"/>
                    </w:rPr>
                    <m:t>λ</m:t>
                  </m:r>
                </m:e>
                <m:sub>
                  <m:r>
                    <w:rPr>
                      <w:rFonts w:ascii="Cambria Math" w:hAnsi="Cambria Math" w:cs="Times New Roman"/>
                    </w:rPr>
                    <m:t>j</m:t>
                  </m:r>
                </m:sub>
              </m:sSub>
            </m:num>
            <m:den>
              <m:nary>
                <m:naryPr>
                  <m:chr m:val="∑"/>
                  <m:limLoc m:val="undOvr"/>
                  <m:grow m:val="1"/>
                  <m:ctrlPr>
                    <w:rPr>
                      <w:rFonts w:ascii="Cambria Math" w:hAnsi="Cambria Math" w:cs="Times New Roman"/>
                    </w:rPr>
                  </m:ctrlPr>
                </m:naryPr>
                <m:sub>
                  <m:r>
                    <w:rPr>
                      <w:rFonts w:ascii="Cambria Math" w:hAnsi="Cambria Math" w:cs="Times New Roman"/>
                    </w:rPr>
                    <m:t>i</m:t>
                  </m:r>
                  <m:r>
                    <w:rPr>
                      <w:rFonts w:ascii="Cambria Math" w:hAnsi="Cambria Math" w:cs="Times New Roman"/>
                    </w:rPr>
                    <m:t>=1</m:t>
                  </m:r>
                </m:sub>
                <m:sup>
                  <m:r>
                    <w:rPr>
                      <w:rFonts w:ascii="Cambria Math" w:hAnsi="Cambria Math" w:cs="Times New Roman"/>
                    </w:rPr>
                    <m:t>p</m:t>
                  </m:r>
                </m:sup>
                <m:e>
                  <m:r>
                    <w:rPr>
                      <w:rFonts w:ascii="Cambria Math" w:hAnsi="Cambria Math" w:cs="Times New Roman"/>
                    </w:rPr>
                    <m:t> </m:t>
                  </m:r>
                </m:e>
              </m:nary>
              <m:sSub>
                <m:sSubPr>
                  <m:ctrlPr>
                    <w:rPr>
                      <w:rFonts w:ascii="Cambria Math" w:hAnsi="Cambria Math" w:cs="Times New Roman"/>
                    </w:rPr>
                  </m:ctrlPr>
                </m:sSubPr>
                <m:e>
                  <m:r>
                    <w:rPr>
                      <w:rFonts w:ascii="Cambria Math" w:hAnsi="Cambria Math" w:cs="Times New Roman"/>
                    </w:rPr>
                    <m:t>λ</m:t>
                  </m:r>
                </m:e>
                <m:sub>
                  <m:r>
                    <w:rPr>
                      <w:rFonts w:ascii="Cambria Math" w:hAnsi="Cambria Math" w:cs="Times New Roman"/>
                    </w:rPr>
                    <m:t>j</m:t>
                  </m:r>
                </m:sub>
              </m:sSub>
            </m:den>
          </m:f>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m</m:t>
              </m:r>
            </m:sub>
          </m:sSub>
          <m:r>
            <w:rPr>
              <w:rFonts w:ascii="Cambria Math" w:hAnsi="Cambria Math" w:cs="Times New Roman"/>
            </w:rPr>
            <m:t>=</m:t>
          </m:r>
          <m:nary>
            <m:naryPr>
              <m:chr m:val="∑"/>
              <m:limLoc m:val="undOvr"/>
              <m:grow m:val="1"/>
              <m:ctrlPr>
                <w:rPr>
                  <w:rFonts w:ascii="Cambria Math" w:hAnsi="Cambria Math" w:cs="Times New Roman"/>
                </w:rPr>
              </m:ctrlPr>
            </m:naryPr>
            <m:sub>
              <m:r>
                <w:rPr>
                  <w:rFonts w:ascii="Cambria Math" w:hAnsi="Cambria Math" w:cs="Times New Roman"/>
                </w:rPr>
                <m:t>j</m:t>
              </m:r>
              <m:r>
                <w:rPr>
                  <w:rFonts w:ascii="Cambria Math" w:hAnsi="Cambria Math" w:cs="Times New Roman"/>
                </w:rPr>
                <m:t>=1</m:t>
              </m:r>
            </m:sub>
            <m:sup>
              <m:r>
                <w:rPr>
                  <w:rFonts w:ascii="Cambria Math" w:hAnsi="Cambria Math" w:cs="Times New Roman"/>
                </w:rPr>
                <m:t>m</m:t>
              </m:r>
            </m:sup>
            <m:e>
              <m:r>
                <w:rPr>
                  <w:rFonts w:ascii="Cambria Math" w:hAnsi="Cambria Math" w:cs="Times New Roman"/>
                </w:rPr>
                <m:t> </m:t>
              </m:r>
            </m:e>
          </m:nary>
          <m:sSub>
            <m:sSubPr>
              <m:ctrlPr>
                <w:rPr>
                  <w:rFonts w:ascii="Cambria Math" w:hAnsi="Cambria Math" w:cs="Times New Roman"/>
                </w:rPr>
              </m:ctrlPr>
            </m:sSubPr>
            <m:e>
              <m:r>
                <w:rPr>
                  <w:rFonts w:ascii="Cambria Math" w:hAnsi="Cambria Math" w:cs="Times New Roman"/>
                </w:rPr>
                <m:t>e</m:t>
              </m:r>
            </m:e>
            <m:sub>
              <m:r>
                <w:rPr>
                  <w:rFonts w:ascii="Cambria Math" w:hAnsi="Cambria Math" w:cs="Times New Roman"/>
                </w:rPr>
                <m:t>j</m:t>
              </m:r>
            </m:sub>
          </m:sSub>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the above equation, F</w:t>
      </w:r>
      <w:r>
        <w:rPr>
          <w:rFonts w:ascii="Times New Roman" w:hAnsi="Times New Roman" w:cs="Times New Roman"/>
          <w:vertAlign w:val="subscript"/>
        </w:rPr>
        <w:t>i</w:t>
      </w:r>
      <w:r>
        <w:rPr>
          <w:rFonts w:ascii="Times New Roman" w:hAnsi="Times New Roman" w:cs="Times New Roman"/>
        </w:rPr>
        <w:t>represents the ith principal component, which contains a total of m principal components; X</w:t>
      </w:r>
      <w:r>
        <w:rPr>
          <w:rFonts w:ascii="Times New Roman" w:hAnsi="Times New Roman" w:cs="Times New Roman"/>
          <w:vertAlign w:val="subscript"/>
        </w:rPr>
        <w:t>i</w:t>
      </w:r>
      <w:r>
        <w:rPr>
          <w:rFonts w:ascii="Times New Roman" w:hAnsi="Times New Roman" w:cs="Times New Roman"/>
        </w:rPr>
        <w:t>represents the ith financial indicator, which contains a total of p financial indicators.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w:t>
      </w:r>
      <w:r>
        <w:rPr>
          <w:rFonts w:ascii="Times New Roman" w:hAnsi="Times New Roman" w:cs="Times New Roman"/>
        </w:rPr>
        <w:t>he experimental research, the evaluation index system shown in Table 1 below was selected, and the main direction of enterprise construction and development was clarified, and then the relevant enterprises were selected as the comparison case, and the data</w:t>
      </w:r>
      <w:r>
        <w:rPr>
          <w:rFonts w:ascii="Times New Roman" w:hAnsi="Times New Roman" w:cs="Times New Roman"/>
        </w:rPr>
        <w:t xml:space="preserve"> were analyzed based on the Stata operation, and the results shown in Table 2 below were finally obtained:</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Table 1 Enterprise financial performance evaluation index system</w:t>
      </w:r>
    </w:p>
    <w:tbl>
      <w:tblPr>
        <w:tblStyle w:val="TableGrid"/>
        <w:tblW w:w="0" w:type="auto"/>
        <w:tblLook w:val="04A0" w:firstRow="1" w:lastRow="0" w:firstColumn="1" w:lastColumn="0" w:noHBand="0" w:noVBand="1"/>
      </w:tblPr>
      <w:tblGrid>
        <w:gridCol w:w="1550"/>
        <w:gridCol w:w="2442"/>
        <w:gridCol w:w="4530"/>
      </w:tblGrid>
      <w:tr w:rsidR="00006929">
        <w:tc>
          <w:tcPr>
            <w:tcW w:w="0" w:type="auto"/>
            <w:shd w:val="clear" w:color="auto" w:fill="auto"/>
            <w:vAlign w:val="center"/>
          </w:tcPr>
          <w:p w:rsidR="00006929" w:rsidRDefault="00B02CDC">
            <w:pPr>
              <w:widowControl/>
              <w:rPr>
                <w:rFonts w:ascii="Times New Roman" w:hAnsi="Times New Roman" w:cs="Times New Roman"/>
                <w:b/>
                <w:bCs/>
              </w:rPr>
            </w:pPr>
            <w:r>
              <w:rPr>
                <w:rFonts w:ascii="Times New Roman" w:eastAsia="SimSun" w:hAnsi="Times New Roman" w:cs="Times New Roman"/>
                <w:b/>
                <w:bCs/>
                <w:kern w:val="0"/>
                <w:sz w:val="24"/>
                <w:lang w:bidi="ar"/>
              </w:rPr>
              <w:t>Stakeholders</w:t>
            </w:r>
          </w:p>
        </w:tc>
        <w:tc>
          <w:tcPr>
            <w:tcW w:w="0" w:type="auto"/>
            <w:shd w:val="clear" w:color="auto" w:fill="auto"/>
            <w:vAlign w:val="center"/>
          </w:tcPr>
          <w:p w:rsidR="00006929" w:rsidRDefault="00B02CDC">
            <w:pPr>
              <w:widowControl/>
              <w:rPr>
                <w:rFonts w:ascii="Times New Roman" w:hAnsi="Times New Roman" w:cs="Times New Roman"/>
                <w:b/>
                <w:bCs/>
              </w:rPr>
            </w:pPr>
            <w:r>
              <w:rPr>
                <w:rFonts w:ascii="Times New Roman" w:eastAsia="SimSun" w:hAnsi="Times New Roman" w:cs="Times New Roman"/>
                <w:b/>
                <w:bCs/>
                <w:kern w:val="0"/>
                <w:sz w:val="24"/>
                <w:lang w:bidi="ar"/>
              </w:rPr>
              <w:t>Evaluation Indicators</w:t>
            </w:r>
          </w:p>
        </w:tc>
        <w:tc>
          <w:tcPr>
            <w:tcW w:w="0" w:type="auto"/>
            <w:shd w:val="clear" w:color="auto" w:fill="auto"/>
            <w:vAlign w:val="center"/>
          </w:tcPr>
          <w:p w:rsidR="00006929" w:rsidRDefault="00B02CDC">
            <w:pPr>
              <w:widowControl/>
              <w:rPr>
                <w:rFonts w:ascii="Times New Roman" w:hAnsi="Times New Roman" w:cs="Times New Roman"/>
                <w:b/>
                <w:bCs/>
              </w:rPr>
            </w:pPr>
            <w:r>
              <w:rPr>
                <w:rFonts w:ascii="Times New Roman" w:eastAsia="SimSun" w:hAnsi="Times New Roman" w:cs="Times New Roman"/>
                <w:b/>
                <w:bCs/>
                <w:kern w:val="0"/>
                <w:sz w:val="24"/>
                <w:lang w:bidi="ar"/>
              </w:rPr>
              <w:t>Calculation Formula</w:t>
            </w:r>
          </w:p>
        </w:tc>
      </w:tr>
      <w:tr w:rsidR="00006929">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Creditors</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Liquidity Ratio</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Current Assets / Current Liabilities</w:t>
            </w:r>
          </w:p>
        </w:tc>
      </w:tr>
      <w:tr w:rsidR="00006929">
        <w:tc>
          <w:tcPr>
            <w:tcW w:w="0" w:type="auto"/>
            <w:shd w:val="clear" w:color="auto" w:fill="auto"/>
            <w:vAlign w:val="center"/>
          </w:tcPr>
          <w:p w:rsidR="00006929" w:rsidRDefault="00006929">
            <w:pPr>
              <w:rPr>
                <w:rFonts w:ascii="Times New Roman" w:hAnsi="Times New Roman" w:cs="Times New Roman"/>
                <w:sz w:val="24"/>
              </w:rPr>
            </w:pP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Debt to Asset Ratio</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Total Liabilities / Total Assets</w:t>
            </w:r>
          </w:p>
        </w:tc>
      </w:tr>
      <w:tr w:rsidR="00006929">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Employees</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Equity Ratio</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Total Liabilities / Shareholders' Equity</w:t>
            </w:r>
          </w:p>
        </w:tc>
      </w:tr>
      <w:tr w:rsidR="00006929">
        <w:tc>
          <w:tcPr>
            <w:tcW w:w="0" w:type="auto"/>
            <w:shd w:val="clear" w:color="auto" w:fill="auto"/>
            <w:vAlign w:val="center"/>
          </w:tcPr>
          <w:p w:rsidR="00006929" w:rsidRDefault="00006929">
            <w:pPr>
              <w:rPr>
                <w:rFonts w:ascii="Times New Roman" w:hAnsi="Times New Roman" w:cs="Times New Roman"/>
                <w:sz w:val="24"/>
              </w:rPr>
            </w:pP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Employee Profitability</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Cash Paid to Employees and Dividends / Operating Income</w:t>
            </w:r>
          </w:p>
        </w:tc>
      </w:tr>
      <w:tr w:rsidR="00006929">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lastRenderedPageBreak/>
              <w:t>Government</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Tax Ra</w:t>
            </w:r>
            <w:r>
              <w:rPr>
                <w:rFonts w:ascii="Times New Roman" w:eastAsia="SimSun" w:hAnsi="Times New Roman" w:cs="Times New Roman"/>
                <w:kern w:val="0"/>
                <w:sz w:val="24"/>
                <w:lang w:bidi="ar"/>
              </w:rPr>
              <w:t>tio</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Tax Amount / Operating Income</w:t>
            </w:r>
          </w:p>
        </w:tc>
      </w:tr>
      <w:tr w:rsidR="00006929">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Consumers</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Revenue Growth Rate</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(Current Year Revenue - Previous Year Revenue) / Previous Year Revenue</w:t>
            </w:r>
          </w:p>
        </w:tc>
      </w:tr>
      <w:tr w:rsidR="00006929">
        <w:tc>
          <w:tcPr>
            <w:tcW w:w="0" w:type="auto"/>
            <w:shd w:val="clear" w:color="auto" w:fill="auto"/>
            <w:vAlign w:val="center"/>
          </w:tcPr>
          <w:p w:rsidR="00006929" w:rsidRDefault="00006929">
            <w:pPr>
              <w:rPr>
                <w:rFonts w:ascii="Times New Roman" w:hAnsi="Times New Roman" w:cs="Times New Roman"/>
                <w:sz w:val="24"/>
              </w:rPr>
            </w:pP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R&amp;D Investment Intensity</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R&amp;D Expenditure / Operating Income</w:t>
            </w:r>
          </w:p>
        </w:tc>
      </w:tr>
      <w:tr w:rsidR="00006929">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Suppliers</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Accounts Payable Turnover Ratio</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 xml:space="preserve">Cost of Goods </w:t>
            </w:r>
            <w:r>
              <w:rPr>
                <w:rFonts w:ascii="Times New Roman" w:eastAsia="SimSun" w:hAnsi="Times New Roman" w:cs="Times New Roman"/>
                <w:kern w:val="0"/>
                <w:sz w:val="24"/>
                <w:lang w:bidi="ar"/>
              </w:rPr>
              <w:t>Sold / Average Accounts Payable</w:t>
            </w:r>
          </w:p>
        </w:tc>
      </w:tr>
      <w:tr w:rsidR="00006929">
        <w:tc>
          <w:tcPr>
            <w:tcW w:w="0" w:type="auto"/>
            <w:shd w:val="clear" w:color="auto" w:fill="auto"/>
            <w:vAlign w:val="center"/>
          </w:tcPr>
          <w:p w:rsidR="00006929" w:rsidRDefault="00006929">
            <w:pPr>
              <w:rPr>
                <w:rFonts w:ascii="Times New Roman" w:hAnsi="Times New Roman" w:cs="Times New Roman"/>
                <w:sz w:val="24"/>
              </w:rPr>
            </w:pP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Cash to Accounts Payable Ratio</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Operating Cash Flow / Accounts Payable</w:t>
            </w:r>
          </w:p>
        </w:tc>
      </w:tr>
    </w:tbl>
    <w:p w:rsidR="00006929" w:rsidRDefault="00006929">
      <w:pPr>
        <w:spacing w:line="360" w:lineRule="auto"/>
        <w:ind w:firstLineChars="200" w:firstLine="420"/>
        <w:rPr>
          <w:rFonts w:ascii="Times New Roman" w:hAnsi="Times New Roman" w:cs="Times New Roman"/>
        </w:rPr>
      </w:pPr>
    </w:p>
    <w:p w:rsidR="00006929" w:rsidRDefault="00006929">
      <w:pPr>
        <w:spacing w:line="360" w:lineRule="auto"/>
        <w:ind w:firstLineChars="200" w:firstLine="420"/>
        <w:rPr>
          <w:rFonts w:ascii="Times New Roman" w:hAnsi="Times New Roman" w:cs="Times New Roman"/>
        </w:rPr>
      </w:pP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Table 2 Results of the evaluation of the financial performance of enterprises</w:t>
      </w:r>
    </w:p>
    <w:tbl>
      <w:tblPr>
        <w:tblStyle w:val="TableGrid"/>
        <w:tblW w:w="0" w:type="auto"/>
        <w:tblLook w:val="04A0" w:firstRow="1" w:lastRow="0" w:firstColumn="1" w:lastColumn="0" w:noHBand="0" w:noVBand="1"/>
      </w:tblPr>
      <w:tblGrid>
        <w:gridCol w:w="696"/>
        <w:gridCol w:w="876"/>
        <w:gridCol w:w="876"/>
        <w:gridCol w:w="876"/>
        <w:gridCol w:w="1925"/>
      </w:tblGrid>
      <w:tr w:rsidR="00006929">
        <w:tc>
          <w:tcPr>
            <w:tcW w:w="0" w:type="auto"/>
            <w:shd w:val="clear" w:color="auto" w:fill="auto"/>
            <w:vAlign w:val="center"/>
          </w:tcPr>
          <w:p w:rsidR="00006929" w:rsidRDefault="00B02CDC">
            <w:pPr>
              <w:widowControl/>
              <w:rPr>
                <w:rFonts w:ascii="Times New Roman" w:hAnsi="Times New Roman" w:cs="Times New Roman"/>
                <w:b/>
                <w:bCs/>
              </w:rPr>
            </w:pPr>
            <w:r>
              <w:rPr>
                <w:rFonts w:ascii="Times New Roman" w:hAnsi="Times New Roman" w:cs="Times New Roman"/>
                <w:b/>
                <w:bCs/>
              </w:rPr>
              <w:t>Year</w:t>
            </w:r>
          </w:p>
        </w:tc>
        <w:tc>
          <w:tcPr>
            <w:tcW w:w="0" w:type="auto"/>
            <w:shd w:val="clear" w:color="auto" w:fill="auto"/>
            <w:vAlign w:val="center"/>
          </w:tcPr>
          <w:p w:rsidR="00006929" w:rsidRDefault="00B02CDC">
            <w:pPr>
              <w:widowControl/>
              <w:rPr>
                <w:rFonts w:ascii="Times New Roman" w:hAnsi="Times New Roman" w:cs="Times New Roman"/>
                <w:b/>
                <w:bCs/>
              </w:rPr>
            </w:pPr>
            <w:r>
              <w:rPr>
                <w:rFonts w:ascii="Times New Roman" w:eastAsia="SimSun" w:hAnsi="Times New Roman" w:cs="Times New Roman"/>
                <w:b/>
                <w:bCs/>
                <w:kern w:val="0"/>
                <w:sz w:val="24"/>
                <w:lang w:bidi="ar"/>
              </w:rPr>
              <w:t>F1</w:t>
            </w:r>
          </w:p>
        </w:tc>
        <w:tc>
          <w:tcPr>
            <w:tcW w:w="0" w:type="auto"/>
            <w:shd w:val="clear" w:color="auto" w:fill="auto"/>
            <w:vAlign w:val="center"/>
          </w:tcPr>
          <w:p w:rsidR="00006929" w:rsidRDefault="00B02CDC">
            <w:pPr>
              <w:widowControl/>
              <w:rPr>
                <w:rFonts w:ascii="Times New Roman" w:hAnsi="Times New Roman" w:cs="Times New Roman"/>
                <w:b/>
                <w:bCs/>
              </w:rPr>
            </w:pPr>
            <w:r>
              <w:rPr>
                <w:rFonts w:ascii="Times New Roman" w:eastAsia="SimSun" w:hAnsi="Times New Roman" w:cs="Times New Roman"/>
                <w:b/>
                <w:bCs/>
                <w:kern w:val="0"/>
                <w:sz w:val="24"/>
                <w:lang w:bidi="ar"/>
              </w:rPr>
              <w:t>F2</w:t>
            </w:r>
          </w:p>
        </w:tc>
        <w:tc>
          <w:tcPr>
            <w:tcW w:w="0" w:type="auto"/>
            <w:shd w:val="clear" w:color="auto" w:fill="auto"/>
            <w:vAlign w:val="center"/>
          </w:tcPr>
          <w:p w:rsidR="00006929" w:rsidRDefault="00B02CDC">
            <w:pPr>
              <w:widowControl/>
              <w:rPr>
                <w:rFonts w:ascii="Times New Roman" w:hAnsi="Times New Roman" w:cs="Times New Roman"/>
                <w:b/>
                <w:bCs/>
              </w:rPr>
            </w:pPr>
            <w:r>
              <w:rPr>
                <w:rFonts w:ascii="Times New Roman" w:eastAsia="SimSun" w:hAnsi="Times New Roman" w:cs="Times New Roman"/>
                <w:b/>
                <w:bCs/>
                <w:kern w:val="0"/>
                <w:sz w:val="24"/>
                <w:lang w:bidi="ar"/>
              </w:rPr>
              <w:t>F3</w:t>
            </w:r>
          </w:p>
        </w:tc>
        <w:tc>
          <w:tcPr>
            <w:tcW w:w="0" w:type="auto"/>
            <w:shd w:val="clear" w:color="auto" w:fill="auto"/>
            <w:vAlign w:val="center"/>
          </w:tcPr>
          <w:p w:rsidR="00006929" w:rsidRDefault="00B02CDC">
            <w:pPr>
              <w:widowControl/>
              <w:rPr>
                <w:rFonts w:ascii="Times New Roman" w:hAnsi="Times New Roman" w:cs="Times New Roman"/>
                <w:b/>
                <w:bCs/>
              </w:rPr>
            </w:pPr>
            <w:r>
              <w:rPr>
                <w:rFonts w:ascii="Times New Roman" w:hAnsi="Times New Roman" w:cs="Times New Roman"/>
                <w:b/>
                <w:bCs/>
              </w:rPr>
              <w:t>F (Comprehensive)</w:t>
            </w:r>
          </w:p>
        </w:tc>
      </w:tr>
      <w:tr w:rsidR="00006929">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2019</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0.2274</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0.3408</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0.0144</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0.2215</w:t>
            </w:r>
          </w:p>
        </w:tc>
      </w:tr>
      <w:tr w:rsidR="00006929">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2020</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0.7314</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0.5508</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0.5013</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0.6565</w:t>
            </w:r>
          </w:p>
        </w:tc>
      </w:tr>
      <w:tr w:rsidR="00006929">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2023</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0.7583</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0.4936</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0.4677</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0.6822</w:t>
            </w:r>
          </w:p>
        </w:tc>
      </w:tr>
      <w:tr w:rsidR="00006929">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2022</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0.7834</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0.8272</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0.7432</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0.7943</w:t>
            </w:r>
          </w:p>
        </w:tc>
      </w:tr>
      <w:tr w:rsidR="00006929">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2023</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0.9839</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0.5901</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0.6892</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0.6046</w:t>
            </w:r>
          </w:p>
        </w:tc>
      </w:tr>
      <w:tr w:rsidR="00006929">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2024</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1.4611</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0.8529</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0.7271</w:t>
            </w:r>
          </w:p>
        </w:tc>
        <w:tc>
          <w:tcPr>
            <w:tcW w:w="0" w:type="auto"/>
            <w:shd w:val="clear" w:color="auto" w:fill="auto"/>
            <w:vAlign w:val="center"/>
          </w:tcPr>
          <w:p w:rsidR="00006929" w:rsidRDefault="00B02CDC">
            <w:pPr>
              <w:widowControl/>
              <w:rPr>
                <w:rFonts w:ascii="Times New Roman" w:hAnsi="Times New Roman" w:cs="Times New Roman"/>
              </w:rPr>
            </w:pPr>
            <w:r>
              <w:rPr>
                <w:rFonts w:ascii="Times New Roman" w:eastAsia="SimSun" w:hAnsi="Times New Roman" w:cs="Times New Roman"/>
                <w:kern w:val="0"/>
                <w:sz w:val="24"/>
                <w:lang w:bidi="ar"/>
              </w:rPr>
              <w:t>0.9157</w:t>
            </w:r>
          </w:p>
        </w:tc>
      </w:tr>
    </w:tbl>
    <w:p w:rsidR="00006929" w:rsidRDefault="00006929">
      <w:pPr>
        <w:spacing w:line="360" w:lineRule="auto"/>
        <w:ind w:firstLineChars="200" w:firstLine="420"/>
        <w:rPr>
          <w:rFonts w:ascii="Times New Roman" w:hAnsi="Times New Roman" w:cs="Times New Roman"/>
        </w:rPr>
      </w:pP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Combined with the analysis of the above table, it can be seen that the study shows that after joining the ESG rating in 2018, the enterprises under the conditions of stakeholder support have independently improved their ESG investment and enhanced their ES</w:t>
      </w:r>
      <w:r>
        <w:rPr>
          <w:rFonts w:ascii="Times New Roman" w:hAnsi="Times New Roman" w:cs="Times New Roman"/>
        </w:rPr>
        <w:t xml:space="preserve">G construction, and the overall trend has been gradually rising since then, and in addition to declining in </w:t>
      </w:r>
      <w:r>
        <w:rPr>
          <w:rFonts w:ascii="Times New Roman" w:hAnsi="Times New Roman" w:cs="Times New Roman"/>
        </w:rPr>
        <w:t>2023</w:t>
      </w:r>
      <w:r>
        <w:rPr>
          <w:rFonts w:ascii="Times New Roman" w:hAnsi="Times New Roman" w:cs="Times New Roman"/>
        </w:rPr>
        <w:t xml:space="preserve"> due to the impact of epidemics and the rise in the cost of raw materials, and other objective factors, the good ESG performance has prompted en</w:t>
      </w:r>
      <w:r>
        <w:rPr>
          <w:rFonts w:ascii="Times New Roman" w:hAnsi="Times New Roman" w:cs="Times New Roman"/>
        </w:rPr>
        <w:t xml:space="preserve">terprises to improve their business strategies rapidly after suffering from the impact of epidemics, and further improve the economy and effectiveness of </w:t>
      </w:r>
      <w:r>
        <w:rPr>
          <w:rFonts w:ascii="Times New Roman" w:hAnsi="Times New Roman" w:cs="Times New Roman"/>
        </w:rPr>
        <w:lastRenderedPageBreak/>
        <w:t xml:space="preserve">practice development. After the impact of the epidemic, enterprises are still able to quickly improve </w:t>
      </w:r>
      <w:r>
        <w:rPr>
          <w:rFonts w:ascii="Times New Roman" w:hAnsi="Times New Roman" w:cs="Times New Roman"/>
        </w:rPr>
        <w:t>their business strategies, effectively respond to the supply and demand conflicts in the supply chain, further improve the economy and effectiveness of practical development, and quickly seize the opportunity to strengthen their competitiveness in carbon a</w:t>
      </w:r>
      <w:r>
        <w:rPr>
          <w:rFonts w:ascii="Times New Roman" w:hAnsi="Times New Roman" w:cs="Times New Roman"/>
        </w:rPr>
        <w:t>nd target.</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3.2 Methodology for measuring market performance of enterprises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Considering R</w:t>
      </w:r>
      <w:r>
        <w:rPr>
          <w:rFonts w:ascii="Times New Roman" w:hAnsi="Times New Roman" w:cs="Times New Roman"/>
          <w:vertAlign w:val="subscript"/>
        </w:rPr>
        <w:t>it</w:t>
      </w:r>
      <w:r>
        <w:rPr>
          <w:rFonts w:ascii="Times New Roman" w:hAnsi="Times New Roman" w:cs="Times New Roman"/>
        </w:rPr>
        <w:t>as the firm's real rate of return at day t, and R</w:t>
      </w:r>
      <w:r>
        <w:rPr>
          <w:rFonts w:ascii="Times New Roman" w:hAnsi="Times New Roman" w:cs="Times New Roman"/>
          <w:vertAlign w:val="subscript"/>
        </w:rPr>
        <w:t>mt</w:t>
      </w:r>
      <w:r>
        <w:rPr>
          <w:rFonts w:ascii="Times New Roman" w:hAnsi="Times New Roman" w:cs="Times New Roman"/>
        </w:rPr>
        <w:t>as the market rate of return at day t, the daily return of GEM in the same period is chosen as the market rate of r</w:t>
      </w:r>
      <w:r>
        <w:rPr>
          <w:rFonts w:ascii="Times New Roman" w:hAnsi="Times New Roman" w:cs="Times New Roman"/>
        </w:rPr>
        <w:t>eturn, from which the computational model shown below is constructed:</w:t>
      </w:r>
    </w:p>
    <w:p w:rsidR="00006929" w:rsidRDefault="00B02CDC">
      <w:pPr>
        <w:spacing w:line="360" w:lineRule="auto"/>
        <w:ind w:firstLineChars="200" w:firstLine="420"/>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it</m:t>
              </m:r>
            </m:sub>
          </m:sSub>
          <m:r>
            <w:rPr>
              <w:rFonts w:ascii="Cambria Math" w:hAnsi="Cambria Math" w:cs="Times New Roman"/>
            </w:rPr>
            <m:t>=</m:t>
          </m:r>
          <m:r>
            <w:rPr>
              <w:rFonts w:ascii="Cambria Math" w:hAnsi="Cambria Math" w:cs="Times New Roman"/>
            </w:rPr>
            <m:t>α</m:t>
          </m:r>
          <m:r>
            <w:rPr>
              <w:rFonts w:ascii="Cambria Math" w:hAnsi="Cambria Math" w:cs="Times New Roman"/>
            </w:rPr>
            <m:t>+</m:t>
          </m:r>
          <m:r>
            <w:rPr>
              <w:rFonts w:ascii="Cambria Math" w:hAnsi="Cambria Math" w:cs="Times New Roman"/>
            </w:rPr>
            <m:t>β</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mt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t</m:t>
              </m:r>
            </m:sub>
          </m:sSub>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the above equation,</w:t>
      </w:r>
      <m:oMath>
        <m:r>
          <w:rPr>
            <w:rFonts w:ascii="Cambria Math" w:hAnsi="Cambria Math" w:cs="Times New Roman"/>
          </w:rPr>
          <m:t>α</m:t>
        </m:r>
        <m:r>
          <w:rPr>
            <w:rFonts w:ascii="Cambria Math" w:hAnsi="Cambria Math" w:cs="Times New Roman"/>
          </w:rPr>
          <m:t>+</m:t>
        </m:r>
        <m:r>
          <w:rPr>
            <w:rFonts w:ascii="Cambria Math" w:hAnsi="Cambria Math" w:cs="Times New Roman"/>
          </w:rPr>
          <m:t>β</m:t>
        </m:r>
      </m:oMath>
      <w:r>
        <w:rPr>
          <w:rFonts w:ascii="Times New Roman" w:hAnsi="Times New Roman" w:cs="Times New Roman"/>
        </w:rPr>
        <w:t xml:space="preserve"> represents the regression coefficients of the equation and</w:t>
      </w:r>
      <m:oMath>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t</m:t>
            </m:r>
          </m:sub>
        </m:sSub>
      </m:oMath>
      <w:r>
        <w:rPr>
          <w:rFonts w:ascii="Times New Roman" w:hAnsi="Times New Roman" w:cs="Times New Roman"/>
        </w:rPr>
        <w:t xml:space="preserve"> represents the error fork term, on the basis of which the linear regres</w:t>
      </w:r>
      <w:r>
        <w:rPr>
          <w:rFonts w:ascii="Times New Roman" w:hAnsi="Times New Roman" w:cs="Times New Roman"/>
        </w:rPr>
        <w:t>sion results of analyzing firms' real returns and GEM's daily returns for the same period are estimated.</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analyzing the model used for the long-term market response, it refers to the buy-and-hold excess return BHAR, which is formulated as follows:</w:t>
      </w:r>
    </w:p>
    <w:p w:rsidR="00006929" w:rsidRDefault="00B02CDC">
      <w:pPr>
        <w:spacing w:line="360" w:lineRule="auto"/>
        <w:ind w:firstLineChars="200" w:firstLine="420"/>
        <w:rPr>
          <w:rFonts w:ascii="Times New Roman" w:hAnsi="Times New Roman" w:cs="Times New Roman"/>
        </w:rPr>
      </w:pPr>
      <m:oMathPara>
        <m:oMath>
          <m:r>
            <w:rPr>
              <w:rFonts w:ascii="Cambria Math" w:hAnsi="Cambria Math" w:cs="Times New Roman"/>
            </w:rPr>
            <m:t>BHA</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m:t>
              </m:r>
            </m:sub>
          </m:sSub>
          <m:r>
            <w:rPr>
              <w:rFonts w:ascii="Cambria Math" w:hAnsi="Cambria Math" w:cs="Times New Roman"/>
            </w:rPr>
            <m:t>=</m:t>
          </m:r>
          <m:nary>
            <m:naryPr>
              <m:chr m:val="∏"/>
              <m:limLoc m:val="undOvr"/>
              <m:grow m:val="1"/>
              <m:ctrlPr>
                <w:rPr>
                  <w:rFonts w:ascii="Cambria Math" w:hAnsi="Cambria Math" w:cs="Times New Roman"/>
                </w:rPr>
              </m:ctrlPr>
            </m:naryPr>
            <m:sub>
              <m:r>
                <w:rPr>
                  <w:rFonts w:ascii="Cambria Math" w:hAnsi="Cambria Math" w:cs="Times New Roman"/>
                </w:rPr>
                <m:t>t</m:t>
              </m:r>
              <m:r>
                <w:rPr>
                  <w:rFonts w:ascii="Cambria Math" w:hAnsi="Cambria Math" w:cs="Times New Roman"/>
                </w:rPr>
                <m:t>=0</m:t>
              </m:r>
            </m:sub>
            <m:sup>
              <m:r>
                <w:rPr>
                  <w:rFonts w:ascii="Cambria Math" w:hAnsi="Cambria Math" w:cs="Times New Roman"/>
                </w:rPr>
                <m:t>T</m:t>
              </m:r>
            </m:sup>
            <m:e>
              <m:r>
                <w:rPr>
                  <w:rFonts w:ascii="Cambria Math" w:hAnsi="Cambria Math" w:cs="Times New Roman"/>
                </w:rPr>
                <m:t> </m:t>
              </m:r>
            </m:e>
          </m:nary>
          <m:d>
            <m:dPr>
              <m:ctrlPr>
                <w:rPr>
                  <w:rFonts w:ascii="Cambria Math" w:hAnsi="Cambria Math" w:cs="Times New Roman"/>
                </w:rPr>
              </m:ctrlPr>
            </m:dPr>
            <m:e>
              <m:r>
                <w:rPr>
                  <w:rFonts w:ascii="Cambria Math" w:hAnsi="Cambria Math" w:cs="Times New Roman"/>
                </w:rPr>
                <m:t>1+</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it</m:t>
                  </m:r>
                </m:sub>
              </m:sSub>
            </m:e>
          </m:d>
          <m:r>
            <w:rPr>
              <w:rFonts w:ascii="Cambria Math" w:hAnsi="Cambria Math" w:cs="Times New Roman"/>
            </w:rPr>
            <m:t>-</m:t>
          </m:r>
          <m:nary>
            <m:naryPr>
              <m:chr m:val="∏"/>
              <m:limLoc m:val="undOvr"/>
              <m:grow m:val="1"/>
              <m:ctrlPr>
                <w:rPr>
                  <w:rFonts w:ascii="Cambria Math" w:hAnsi="Cambria Math" w:cs="Times New Roman"/>
                </w:rPr>
              </m:ctrlPr>
            </m:naryPr>
            <m:sub>
              <m:r>
                <w:rPr>
                  <w:rFonts w:ascii="Cambria Math" w:hAnsi="Cambria Math" w:cs="Times New Roman"/>
                </w:rPr>
                <m:t>t</m:t>
              </m:r>
              <m:r>
                <w:rPr>
                  <w:rFonts w:ascii="Cambria Math" w:hAnsi="Cambria Math" w:cs="Times New Roman"/>
                </w:rPr>
                <m:t>=0</m:t>
              </m:r>
            </m:sub>
            <m:sup>
              <m:r>
                <w:rPr>
                  <w:rFonts w:ascii="Cambria Math" w:hAnsi="Cambria Math" w:cs="Times New Roman"/>
                </w:rPr>
                <m:t>T</m:t>
              </m:r>
            </m:sup>
            <m:e>
              <m:r>
                <w:rPr>
                  <w:rFonts w:ascii="Cambria Math" w:hAnsi="Cambria Math" w:cs="Times New Roman"/>
                </w:rPr>
                <m:t> </m:t>
              </m:r>
            </m:e>
          </m:nary>
          <m:d>
            <m:dPr>
              <m:begChr m:val="["/>
              <m:endChr m:val="]"/>
              <m:ctrlPr>
                <w:rPr>
                  <w:rFonts w:ascii="Cambria Math" w:hAnsi="Cambria Math" w:cs="Times New Roman"/>
                </w:rPr>
              </m:ctrlPr>
            </m:dPr>
            <m:e>
              <m:r>
                <w:rPr>
                  <w:rFonts w:ascii="Cambria Math" w:hAnsi="Cambria Math" w:cs="Times New Roman"/>
                </w:rPr>
                <m:t>1+</m:t>
              </m:r>
              <m:r>
                <w:rPr>
                  <w:rFonts w:ascii="Cambria Math" w:hAnsi="Cambria Math" w:cs="Times New Roman"/>
                </w:rPr>
                <m:t>E</m:t>
              </m:r>
              <m:d>
                <m:dPr>
                  <m:ctrlPr>
                    <w:rPr>
                      <w:rFonts w:ascii="Cambria Math" w:hAnsi="Cambria Math" w:cs="Times New Roman"/>
                    </w:rPr>
                  </m:ctrlPr>
                </m:dPr>
                <m:e>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it</m:t>
                      </m:r>
                    </m:sub>
                  </m:sSub>
                </m:e>
              </m:d>
            </m:e>
          </m:d>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the above equation, R represents the stock return of the sample firms in month t, E(R) represents the expected stock return of the sample firms in month t, and T represents the time period examined.</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The five tradin</w:t>
      </w:r>
      <w:r>
        <w:rPr>
          <w:rFonts w:ascii="Times New Roman" w:hAnsi="Times New Roman" w:cs="Times New Roman"/>
        </w:rPr>
        <w:t>g days after the event date are regarded as the event window period, on the basis of which the actual return of the firms and the return of the Venture Index for the same period are selected for Excel linear regression analysis, and then the regression fun</w:t>
      </w:r>
      <w:r>
        <w:rPr>
          <w:rFonts w:ascii="Times New Roman" w:hAnsi="Times New Roman" w:cs="Times New Roman"/>
        </w:rPr>
        <w:t>ction is constructed as follows:</w:t>
      </w:r>
    </w:p>
    <w:p w:rsidR="00006929" w:rsidRDefault="00B02CDC">
      <w:pPr>
        <w:spacing w:line="360" w:lineRule="auto"/>
        <w:ind w:firstLineChars="200" w:firstLine="420"/>
        <w:rPr>
          <w:rFonts w:ascii="Times New Roman" w:hAnsi="Times New Roman" w:cs="Times New Roman"/>
        </w:rPr>
      </w:pPr>
      <m:oMathPara>
        <m:oMath>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it</m:t>
              </m:r>
            </m:sub>
          </m:sSub>
          <m:r>
            <w:rPr>
              <w:rFonts w:ascii="Cambria Math" w:hAnsi="Cambria Math" w:cs="Times New Roman"/>
            </w:rPr>
            <m:t>=1.4938</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mt</m:t>
              </m:r>
            </m:sub>
          </m:sSub>
          <m:r>
            <w:rPr>
              <w:rFonts w:ascii="Cambria Math" w:hAnsi="Cambria Math" w:cs="Times New Roman"/>
            </w:rPr>
            <m:t>+0.0025</m:t>
          </m:r>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 xml:space="preserve">On this basis, the abnormal rate of return of the analyzed firm during the window period and the cumulative abnormal rate of return during the window period are calculated and analyzed by </w:t>
      </w:r>
      <w:r>
        <w:rPr>
          <w:rFonts w:ascii="Times New Roman" w:hAnsi="Times New Roman" w:cs="Times New Roman"/>
        </w:rPr>
        <w:lastRenderedPageBreak/>
        <w:t>the foll</w:t>
      </w:r>
      <w:r>
        <w:rPr>
          <w:rFonts w:ascii="Times New Roman" w:hAnsi="Times New Roman" w:cs="Times New Roman"/>
        </w:rPr>
        <w:t>owing formulas:</w:t>
      </w:r>
    </w:p>
    <w:p w:rsidR="00006929" w:rsidRDefault="00B02CDC">
      <w:pPr>
        <w:spacing w:line="360" w:lineRule="auto"/>
        <w:ind w:firstLineChars="200" w:firstLine="420"/>
        <w:rPr>
          <w:rFonts w:ascii="Times New Roman" w:hAnsi="Times New Roman" w:cs="Times New Roman"/>
        </w:rPr>
      </w:pPr>
      <m:oMathPara>
        <m:oMath>
          <m:r>
            <w:rPr>
              <w:rFonts w:ascii="Cambria Math" w:hAnsi="Cambria Math" w:cs="Times New Roman"/>
            </w:rPr>
            <m:t>A</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it</m:t>
              </m:r>
            </m:sub>
          </m:sSub>
          <m:r>
            <w:rPr>
              <w:rFonts w:ascii="Cambria Math" w:hAnsi="Cambria Math" w:cs="Times New Roman"/>
            </w:rPr>
            <m:t>-</m:t>
          </m:r>
          <m:sSubSup>
            <m:sSubSupPr>
              <m:ctrlPr>
                <w:rPr>
                  <w:rFonts w:ascii="Cambria Math" w:hAnsi="Cambria Math" w:cs="Times New Roman"/>
                </w:rPr>
              </m:ctrlPr>
            </m:sSubSupPr>
            <m:e>
              <m:r>
                <w:rPr>
                  <w:rFonts w:ascii="Cambria Math" w:hAnsi="Cambria Math" w:cs="Times New Roman"/>
                </w:rPr>
                <m:t>R</m:t>
              </m:r>
            </m:e>
            <m:sub>
              <m:r>
                <w:rPr>
                  <w:rFonts w:ascii="Cambria Math" w:hAnsi="Cambria Math" w:cs="Times New Roman"/>
                </w:rPr>
                <m:t>it</m:t>
              </m:r>
            </m:sub>
            <m:sup>
              <m:r>
                <m:rPr>
                  <m:sty m:val="p"/>
                </m:rPr>
                <w:rPr>
                  <w:rFonts w:ascii="Cambria Math" w:hAnsi="Cambria Math" w:cs="Times New Roman"/>
                </w:rPr>
                <m:t>'</m:t>
              </m:r>
            </m:sup>
          </m:sSubSup>
        </m:oMath>
      </m:oMathPara>
    </w:p>
    <w:p w:rsidR="00006929" w:rsidRDefault="00B02CDC">
      <w:pPr>
        <w:spacing w:line="360" w:lineRule="auto"/>
        <w:ind w:firstLineChars="200" w:firstLine="420"/>
        <w:rPr>
          <w:rFonts w:ascii="Times New Roman" w:hAnsi="Times New Roman" w:cs="Times New Roman"/>
        </w:rPr>
      </w:pPr>
      <m:oMathPara>
        <m:oMath>
          <m:r>
            <w:rPr>
              <w:rFonts w:ascii="Cambria Math" w:hAnsi="Cambria Math" w:cs="Times New Roman"/>
            </w:rPr>
            <m:t>CA</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1</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2</m:t>
                  </m:r>
                </m:sub>
              </m:sSub>
              <m:r>
                <w:rPr>
                  <w:rFonts w:ascii="Cambria Math" w:hAnsi="Cambria Math" w:cs="Times New Roman"/>
                </w:rPr>
                <m:t>)</m:t>
              </m:r>
            </m:sub>
          </m:sSub>
          <m:r>
            <w:rPr>
              <w:rFonts w:ascii="Cambria Math" w:hAnsi="Cambria Math" w:cs="Times New Roman"/>
            </w:rPr>
            <m:t>=</m:t>
          </m:r>
          <m:nary>
            <m:naryPr>
              <m:chr m:val="∑"/>
              <m:limLoc m:val="undOvr"/>
              <m:grow m:val="1"/>
              <m:ctrlPr>
                <w:rPr>
                  <w:rFonts w:ascii="Cambria Math" w:hAnsi="Cambria Math" w:cs="Times New Roman"/>
                </w:rPr>
              </m:ctrlPr>
            </m:naryPr>
            <m:sub>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1</m:t>
                  </m:r>
                </m:sub>
              </m:sSub>
            </m:sub>
            <m:sup>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2</m:t>
                  </m:r>
                </m:sub>
              </m:sSub>
            </m:sup>
            <m:e>
              <m:r>
                <w:rPr>
                  <w:rFonts w:ascii="Cambria Math" w:hAnsi="Cambria Math" w:cs="Times New Roman"/>
                </w:rPr>
                <m:t> </m:t>
              </m:r>
            </m:e>
          </m:nary>
          <m:r>
            <w:rPr>
              <w:rFonts w:ascii="Cambria Math" w:hAnsi="Cambria Math" w:cs="Times New Roman"/>
            </w:rPr>
            <m:t>A</m:t>
          </m:r>
          <m:sSub>
            <m:sSubPr>
              <m:ctrlPr>
                <w:rPr>
                  <w:rFonts w:ascii="Cambria Math" w:hAnsi="Cambria Math" w:cs="Times New Roman"/>
                </w:rPr>
              </m:ctrlPr>
            </m:sSubPr>
            <m:e>
              <m:r>
                <w:rPr>
                  <w:rFonts w:ascii="Cambria Math" w:hAnsi="Cambria Math" w:cs="Times New Roman"/>
                </w:rPr>
                <m:t>R</m:t>
              </m:r>
            </m:e>
            <m:sub>
              <m:r>
                <w:rPr>
                  <w:rFonts w:ascii="Cambria Math" w:hAnsi="Cambria Math" w:cs="Times New Roman"/>
                </w:rPr>
                <m:t>it</m:t>
              </m:r>
            </m:sub>
          </m:sSub>
        </m:oMath>
      </m:oMathPara>
    </w:p>
    <w:p w:rsidR="00006929" w:rsidRDefault="00006929">
      <w:pPr>
        <w:spacing w:line="360" w:lineRule="auto"/>
        <w:ind w:firstLineChars="200" w:firstLine="420"/>
        <w:rPr>
          <w:rFonts w:ascii="Times New Roman" w:hAnsi="Times New Roman" w:cs="Times New Roman"/>
        </w:rPr>
      </w:pP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the above formula, R</w:t>
      </w:r>
      <w:r>
        <w:rPr>
          <w:rFonts w:ascii="Times New Roman" w:hAnsi="Times New Roman" w:cs="Times New Roman"/>
          <w:vertAlign w:val="subscript"/>
        </w:rPr>
        <w:t>it</w:t>
      </w:r>
      <w:r>
        <w:rPr>
          <w:rFonts w:ascii="Times New Roman" w:hAnsi="Times New Roman" w:cs="Times New Roman"/>
        </w:rPr>
        <w:t>represents the real rate of return of the firm during the time window period, and CAR</w:t>
      </w:r>
      <w:r>
        <w:rPr>
          <w:rFonts w:ascii="Times New Roman" w:hAnsi="Times New Roman" w:cs="Times New Roman"/>
          <w:vertAlign w:val="subscript"/>
        </w:rPr>
        <w:t>(t1, t2)</w:t>
      </w:r>
      <w:r>
        <w:rPr>
          <w:rFonts w:ascii="Times New Roman" w:hAnsi="Times New Roman" w:cs="Times New Roman"/>
        </w:rPr>
        <w:t xml:space="preserve">represents the sum of the cumulative abnormal rate of return of </w:t>
      </w:r>
      <w:r>
        <w:rPr>
          <w:rFonts w:ascii="Times New Roman" w:hAnsi="Times New Roman" w:cs="Times New Roman"/>
        </w:rPr>
        <w:t>the firm during the period (t1, t2). The actual study can obtain the results of the indicator changes as shown in Table 3 below:</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Table 3 Analysis of the results of changes in the indicators of the experimental study</w:t>
      </w:r>
    </w:p>
    <w:tbl>
      <w:tblPr>
        <w:tblStyle w:val="TableGrid"/>
        <w:tblW w:w="0" w:type="auto"/>
        <w:tblLook w:val="04A0" w:firstRow="1" w:lastRow="0" w:firstColumn="1" w:lastColumn="0" w:noHBand="0" w:noVBand="1"/>
      </w:tblPr>
      <w:tblGrid>
        <w:gridCol w:w="780"/>
        <w:gridCol w:w="1310"/>
        <w:gridCol w:w="996"/>
        <w:gridCol w:w="1360"/>
        <w:gridCol w:w="1251"/>
        <w:gridCol w:w="1319"/>
        <w:gridCol w:w="1506"/>
      </w:tblGrid>
      <w:tr w:rsidR="00006929">
        <w:tc>
          <w:tcPr>
            <w:tcW w:w="0" w:type="auto"/>
            <w:shd w:val="clear" w:color="auto" w:fill="auto"/>
            <w:vAlign w:val="center"/>
          </w:tcPr>
          <w:p w:rsidR="00006929" w:rsidRDefault="00B02CDC">
            <w:pPr>
              <w:widowControl/>
              <w:jc w:val="center"/>
              <w:rPr>
                <w:rFonts w:ascii="Times New Roman" w:hAnsi="Times New Roman" w:cs="Times New Roman"/>
                <w:b/>
                <w:bCs/>
              </w:rPr>
            </w:pPr>
            <w:r>
              <w:rPr>
                <w:rFonts w:ascii="Times New Roman" w:eastAsia="SimSun" w:hAnsi="Times New Roman" w:cs="Times New Roman"/>
                <w:b/>
                <w:bCs/>
                <w:kern w:val="0"/>
                <w:sz w:val="24"/>
                <w:lang w:bidi="ar"/>
              </w:rPr>
              <w:t>Time Point</w:t>
            </w:r>
          </w:p>
        </w:tc>
        <w:tc>
          <w:tcPr>
            <w:tcW w:w="0" w:type="auto"/>
            <w:shd w:val="clear" w:color="auto" w:fill="auto"/>
            <w:vAlign w:val="center"/>
          </w:tcPr>
          <w:p w:rsidR="00006929" w:rsidRDefault="00B02CDC">
            <w:pPr>
              <w:widowControl/>
              <w:jc w:val="center"/>
              <w:rPr>
                <w:rFonts w:ascii="Times New Roman" w:hAnsi="Times New Roman" w:cs="Times New Roman"/>
                <w:b/>
                <w:bCs/>
              </w:rPr>
            </w:pPr>
            <w:r>
              <w:rPr>
                <w:rFonts w:ascii="Times New Roman" w:eastAsia="SimSun" w:hAnsi="Times New Roman" w:cs="Times New Roman"/>
                <w:b/>
                <w:bCs/>
                <w:kern w:val="0"/>
                <w:sz w:val="24"/>
                <w:lang w:bidi="ar"/>
              </w:rPr>
              <w:t>Date</w:t>
            </w:r>
          </w:p>
        </w:tc>
        <w:tc>
          <w:tcPr>
            <w:tcW w:w="0" w:type="auto"/>
            <w:shd w:val="clear" w:color="auto" w:fill="auto"/>
            <w:vAlign w:val="center"/>
          </w:tcPr>
          <w:p w:rsidR="00006929" w:rsidRDefault="00B02CDC">
            <w:pPr>
              <w:widowControl/>
              <w:jc w:val="center"/>
              <w:rPr>
                <w:rFonts w:ascii="Times New Roman" w:hAnsi="Times New Roman" w:cs="Times New Roman"/>
                <w:b/>
                <w:bCs/>
              </w:rPr>
            </w:pPr>
            <w:r>
              <w:rPr>
                <w:rFonts w:ascii="Times New Roman" w:eastAsia="SimSun" w:hAnsi="Times New Roman" w:cs="Times New Roman"/>
                <w:b/>
                <w:bCs/>
                <w:kern w:val="0"/>
                <w:sz w:val="24"/>
                <w:lang w:bidi="ar"/>
              </w:rPr>
              <w:t>Actual Return Rate Ra​</w:t>
            </w:r>
          </w:p>
        </w:tc>
        <w:tc>
          <w:tcPr>
            <w:tcW w:w="0" w:type="auto"/>
            <w:shd w:val="clear" w:color="auto" w:fill="auto"/>
            <w:vAlign w:val="center"/>
          </w:tcPr>
          <w:p w:rsidR="00006929" w:rsidRDefault="00B02CDC">
            <w:pPr>
              <w:widowControl/>
              <w:jc w:val="center"/>
              <w:rPr>
                <w:rFonts w:ascii="Times New Roman" w:hAnsi="Times New Roman" w:cs="Times New Roman"/>
                <w:b/>
                <w:bCs/>
              </w:rPr>
            </w:pPr>
            <w:r>
              <w:rPr>
                <w:rFonts w:ascii="Times New Roman" w:eastAsia="SimSun" w:hAnsi="Times New Roman" w:cs="Times New Roman"/>
                <w:b/>
                <w:bCs/>
                <w:kern w:val="0"/>
                <w:sz w:val="24"/>
                <w:lang w:bidi="ar"/>
              </w:rPr>
              <w:t>C</w:t>
            </w:r>
            <w:r>
              <w:rPr>
                <w:rFonts w:ascii="Times New Roman" w:eastAsia="SimSun" w:hAnsi="Times New Roman" w:cs="Times New Roman"/>
                <w:b/>
                <w:bCs/>
                <w:kern w:val="0"/>
                <w:sz w:val="24"/>
                <w:lang w:bidi="ar"/>
              </w:rPr>
              <w:t>omposite Return Rate Rm​</w:t>
            </w:r>
          </w:p>
        </w:tc>
        <w:tc>
          <w:tcPr>
            <w:tcW w:w="0" w:type="auto"/>
            <w:shd w:val="clear" w:color="auto" w:fill="auto"/>
            <w:vAlign w:val="center"/>
          </w:tcPr>
          <w:p w:rsidR="00006929" w:rsidRDefault="00B02CDC">
            <w:pPr>
              <w:widowControl/>
              <w:jc w:val="center"/>
              <w:rPr>
                <w:rFonts w:ascii="Times New Roman" w:hAnsi="Times New Roman" w:cs="Times New Roman"/>
                <w:b/>
                <w:bCs/>
              </w:rPr>
            </w:pPr>
            <w:r>
              <w:rPr>
                <w:rFonts w:ascii="Times New Roman" w:eastAsia="SimSun" w:hAnsi="Times New Roman" w:cs="Times New Roman"/>
                <w:b/>
                <w:bCs/>
                <w:kern w:val="0"/>
                <w:sz w:val="24"/>
                <w:lang w:bidi="ar"/>
              </w:rPr>
              <w:t>Predicted Return Rate Rp​</w:t>
            </w:r>
          </w:p>
        </w:tc>
        <w:tc>
          <w:tcPr>
            <w:tcW w:w="0" w:type="auto"/>
            <w:shd w:val="clear" w:color="auto" w:fill="auto"/>
            <w:vAlign w:val="center"/>
          </w:tcPr>
          <w:p w:rsidR="00006929" w:rsidRDefault="00B02CDC">
            <w:pPr>
              <w:widowControl/>
              <w:jc w:val="center"/>
              <w:rPr>
                <w:rFonts w:ascii="Times New Roman" w:hAnsi="Times New Roman" w:cs="Times New Roman"/>
                <w:b/>
                <w:bCs/>
              </w:rPr>
            </w:pPr>
            <w:r>
              <w:rPr>
                <w:rFonts w:ascii="Times New Roman" w:eastAsia="SimSun" w:hAnsi="Times New Roman" w:cs="Times New Roman"/>
                <w:b/>
                <w:bCs/>
                <w:kern w:val="0"/>
                <w:sz w:val="24"/>
                <w:lang w:bidi="ar"/>
              </w:rPr>
              <w:t>Abnormal Return Rate AR</w:t>
            </w:r>
          </w:p>
        </w:tc>
        <w:tc>
          <w:tcPr>
            <w:tcW w:w="0" w:type="auto"/>
            <w:shd w:val="clear" w:color="auto" w:fill="auto"/>
            <w:vAlign w:val="center"/>
          </w:tcPr>
          <w:p w:rsidR="00006929" w:rsidRDefault="00B02CDC">
            <w:pPr>
              <w:widowControl/>
              <w:jc w:val="center"/>
              <w:rPr>
                <w:rFonts w:ascii="Times New Roman" w:hAnsi="Times New Roman" w:cs="Times New Roman"/>
                <w:b/>
                <w:bCs/>
              </w:rPr>
            </w:pPr>
            <w:r>
              <w:rPr>
                <w:rFonts w:ascii="Times New Roman" w:eastAsia="SimSun" w:hAnsi="Times New Roman" w:cs="Times New Roman"/>
                <w:b/>
                <w:bCs/>
                <w:kern w:val="0"/>
                <w:sz w:val="24"/>
                <w:lang w:bidi="ar"/>
              </w:rPr>
              <w:t>Cumulative Abnormal Return Rate (CAR)</w:t>
            </w:r>
          </w:p>
        </w:tc>
      </w:tr>
      <w:tr w:rsidR="00006929">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0</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2023/01/21</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5.71%</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1.73%</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3.61%</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2.11%</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2.11%</w:t>
            </w:r>
          </w:p>
        </w:tc>
      </w:tr>
      <w:tr w:rsidR="00006929">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1</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2023/01/22</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5.78%</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0.94%</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2.52%</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3.26%</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5.36%</w:t>
            </w:r>
          </w:p>
        </w:tc>
      </w:tr>
      <w:tr w:rsidR="00006929">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2023/01/25</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3.74%</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-0.74%</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0.22%</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3.52%</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8.88%</w:t>
            </w:r>
          </w:p>
        </w:tc>
      </w:tr>
      <w:tr w:rsidR="00006929">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3</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2023/01/26</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5.83%</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-0.23%</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-1.93%</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7.76%</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16.64%</w:t>
            </w:r>
          </w:p>
        </w:tc>
      </w:tr>
      <w:tr w:rsidR="00006929">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4</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2023/01/27</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9.33%</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0.45%</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1.86%</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7.48%</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24.12%</w:t>
            </w:r>
          </w:p>
        </w:tc>
      </w:tr>
      <w:tr w:rsidR="00006929">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5</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2023/01/28</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5.23%</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-2.91%</w:t>
            </w:r>
          </w:p>
        </w:tc>
        <w:tc>
          <w:tcPr>
            <w:tcW w:w="0" w:type="auto"/>
            <w:shd w:val="clear" w:color="auto" w:fill="auto"/>
            <w:vAlign w:val="center"/>
          </w:tcPr>
          <w:p w:rsidR="00006929" w:rsidRDefault="00B02CDC">
            <w:pPr>
              <w:widowControl/>
              <w:jc w:val="left"/>
              <w:rPr>
                <w:rFonts w:ascii="Times New Roman" w:hAnsi="Times New Roman" w:cs="Times New Roman"/>
              </w:rPr>
            </w:pPr>
            <w:r>
              <w:rPr>
                <w:rFonts w:ascii="Times New Roman" w:eastAsia="SimSun" w:hAnsi="Times New Roman" w:cs="Times New Roman"/>
                <w:kern w:val="0"/>
                <w:sz w:val="24"/>
                <w:lang w:bidi="ar"/>
              </w:rPr>
              <w:t>-0.28%</w:t>
            </w:r>
          </w:p>
        </w:tc>
        <w:tc>
          <w:tcPr>
            <w:tcW w:w="0" w:type="auto"/>
            <w:shd w:val="clear" w:color="auto" w:fill="auto"/>
            <w:vAlign w:val="center"/>
          </w:tcPr>
          <w:p w:rsidR="00006929" w:rsidRDefault="00B02CDC">
            <w:pPr>
              <w:rPr>
                <w:rFonts w:ascii="Times New Roman" w:hAnsi="Times New Roman" w:cs="Times New Roman"/>
                <w:sz w:val="24"/>
              </w:rPr>
            </w:pPr>
            <w:r>
              <w:rPr>
                <w:rFonts w:ascii="Times New Roman" w:hAnsi="Times New Roman" w:cs="Times New Roman"/>
                <w:sz w:val="24"/>
              </w:rPr>
              <w:t>7.99%</w:t>
            </w:r>
          </w:p>
        </w:tc>
        <w:tc>
          <w:tcPr>
            <w:tcW w:w="0" w:type="auto"/>
            <w:shd w:val="clear" w:color="auto" w:fill="auto"/>
            <w:vAlign w:val="center"/>
          </w:tcPr>
          <w:p w:rsidR="00006929" w:rsidRDefault="00B02CDC">
            <w:pPr>
              <w:rPr>
                <w:rFonts w:ascii="Times New Roman" w:hAnsi="Times New Roman" w:cs="Times New Roman"/>
                <w:sz w:val="24"/>
              </w:rPr>
            </w:pPr>
            <w:r>
              <w:rPr>
                <w:rFonts w:ascii="Times New Roman" w:hAnsi="Times New Roman" w:cs="Times New Roman"/>
                <w:sz w:val="24"/>
              </w:rPr>
              <w:t>32.12%</w:t>
            </w:r>
          </w:p>
        </w:tc>
      </w:tr>
    </w:tbl>
    <w:p w:rsidR="00006929" w:rsidRDefault="00006929">
      <w:pPr>
        <w:spacing w:line="360" w:lineRule="auto"/>
        <w:rPr>
          <w:rFonts w:ascii="Times New Roman" w:hAnsi="Times New Roman" w:cs="Times New Roman"/>
        </w:rPr>
      </w:pP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 xml:space="preserve">Combined with the analysis of the above table, the abnormal yield of the enterprise has been showing a continuous </w:t>
      </w:r>
      <w:r>
        <w:rPr>
          <w:rFonts w:ascii="Times New Roman" w:hAnsi="Times New Roman" w:cs="Times New Roman"/>
        </w:rPr>
        <w:t xml:space="preserve">upward trend, and the cumulative abnormal yield on the 5th day can reach 32.2%, and has obtained a more positive response in the capital market. After participating in the domestic rating for the first time, the enterprise began to increase the investment </w:t>
      </w:r>
      <w:r>
        <w:rPr>
          <w:rFonts w:ascii="Times New Roman" w:hAnsi="Times New Roman" w:cs="Times New Roman"/>
        </w:rPr>
        <w:t xml:space="preserve">and development of ESG, and obtained excellent results in the applied research on environment, society and corporate governance, and the enterprise's own sustainable development ability is getting stronger </w:t>
      </w:r>
      <w:r>
        <w:rPr>
          <w:rFonts w:ascii="Times New Roman" w:hAnsi="Times New Roman" w:cs="Times New Roman"/>
        </w:rPr>
        <w:lastRenderedPageBreak/>
        <w:t>and stronger, and there are more investors partici</w:t>
      </w:r>
      <w:r>
        <w:rPr>
          <w:rFonts w:ascii="Times New Roman" w:hAnsi="Times New Roman" w:cs="Times New Roman"/>
        </w:rPr>
        <w:t>pating in the enterprise's construction and reform.</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3.3 Impact of Dual Innovation in Firms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order to test the effect of firm performance on the composition of firms' dual innovation, a regression model was constructed as shown below:</w:t>
      </w:r>
    </w:p>
    <w:p w:rsidR="00006929" w:rsidRDefault="00B02CDC">
      <w:pPr>
        <w:spacing w:line="360" w:lineRule="auto"/>
        <w:ind w:firstLineChars="200" w:firstLine="420"/>
        <w:rPr>
          <w:rFonts w:ascii="Times New Roman" w:hAnsi="Times New Roman" w:cs="Times New Roman"/>
        </w:rPr>
      </w:pPr>
      <m:oMathPara>
        <m:oMath>
          <m:sSub>
            <m:sSubPr>
              <m:ctrlPr>
                <w:rPr>
                  <w:rFonts w:ascii="Cambria Math" w:hAnsi="Cambria Math" w:cs="Times New Roman"/>
                </w:rPr>
              </m:ctrlPr>
            </m:sSubPr>
            <m:e>
              <m:r>
                <m:rPr>
                  <m:sty m:val="p"/>
                </m:rPr>
                <w:rPr>
                  <w:rFonts w:ascii="Cambria Math" w:hAnsi="Cambria Math" w:cs="Times New Roman"/>
                </w:rPr>
                <m:t>Explora</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ESG</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Control</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h</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it</m:t>
              </m:r>
            </m:sub>
          </m:sSub>
          <m:sSub>
            <m:sSubPr>
              <m:ctrlPr>
                <w:rPr>
                  <w:rFonts w:ascii="Cambria Math" w:hAnsi="Cambria Math" w:cs="Times New Roman"/>
                </w:rPr>
              </m:ctrlPr>
            </m:sSubPr>
            <m:e>
              <m:r>
                <m:rPr>
                  <m:sty m:val="p"/>
                </m:rPr>
                <w:rPr>
                  <w:rFonts w:ascii="Cambria Math" w:hAnsi="Cambria Math" w:cs="Times New Roman"/>
                </w:rPr>
                <m:t>Exploriu</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ESG</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Control</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h</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it</m:t>
              </m:r>
            </m:sub>
          </m:sSub>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the above equation,</w:t>
      </w:r>
      <w:r>
        <w:rPr>
          <w:rFonts w:ascii="Times New Roman" w:hAnsi="Times New Roman" w:cs="Times New Roman"/>
        </w:rPr>
        <w:br/>
      </w:r>
      <m:oMath>
        <m:r>
          <m:rPr>
            <m:sty m:val="p"/>
          </m:rPr>
          <w:rPr>
            <w:rFonts w:ascii="Cambria Math" w:hAnsi="Cambria Math" w:cs="Times New Roman"/>
          </w:rPr>
          <m:t>a</m:t>
        </m:r>
      </m:oMath>
      <w:r>
        <w:rPr>
          <w:rFonts w:ascii="Times New Roman" w:hAnsi="Times New Roman" w:cs="Times New Roman"/>
        </w:rPr>
        <w:t xml:space="preserve"> represents the estimated parameter values of the independent and control variables, Explora</w:t>
      </w:r>
      <w:r>
        <w:rPr>
          <w:rFonts w:ascii="Times New Roman" w:hAnsi="Times New Roman" w:cs="Times New Roman"/>
          <w:vertAlign w:val="subscript"/>
        </w:rPr>
        <w:t>it</w:t>
      </w:r>
      <w:r>
        <w:rPr>
          <w:rFonts w:ascii="Times New Roman" w:hAnsi="Times New Roman" w:cs="Times New Roman"/>
        </w:rPr>
        <w:t>represents the breakthrough innovation perfor</w:t>
      </w:r>
      <w:r>
        <w:rPr>
          <w:rFonts w:ascii="Times New Roman" w:hAnsi="Times New Roman" w:cs="Times New Roman"/>
        </w:rPr>
        <w:t>mance of the ith firm in year t, Exploriu</w:t>
      </w:r>
      <w:r>
        <w:rPr>
          <w:rFonts w:ascii="Times New Roman" w:hAnsi="Times New Roman" w:cs="Times New Roman"/>
          <w:vertAlign w:val="subscript"/>
        </w:rPr>
        <w:t>it</w:t>
      </w:r>
      <w:r>
        <w:rPr>
          <w:rFonts w:ascii="Times New Roman" w:hAnsi="Times New Roman" w:cs="Times New Roman"/>
        </w:rPr>
        <w:t>represents the incremental innovation performance of the ith firm in year t, Control</w:t>
      </w:r>
      <w:r>
        <w:rPr>
          <w:rFonts w:ascii="Times New Roman" w:hAnsi="Times New Roman" w:cs="Times New Roman"/>
          <w:vertAlign w:val="subscript"/>
        </w:rPr>
        <w:t>it</w:t>
      </w:r>
      <w:r>
        <w:rPr>
          <w:rFonts w:ascii="Times New Roman" w:hAnsi="Times New Roman" w:cs="Times New Roman"/>
        </w:rPr>
        <w:t>represents the control variables,</w:t>
      </w:r>
      <w:r>
        <w:rPr>
          <w:rFonts w:ascii="Times New Roman" w:hAnsi="Times New Roman" w:cs="Times New Roman"/>
        </w:rPr>
        <w:br/>
      </w: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h</m:t>
            </m:r>
          </m:sub>
        </m:sSub>
      </m:oMath>
      <w:r>
        <w:rPr>
          <w:rFonts w:ascii="Times New Roman" w:hAnsi="Times New Roman" w:cs="Times New Roman"/>
        </w:rPr>
        <w:t xml:space="preserve"> represents the industry fixed effects,</w:t>
      </w:r>
      <w:r>
        <w:rPr>
          <w:rFonts w:ascii="Times New Roman" w:hAnsi="Times New Roman" w:cs="Times New Roman"/>
        </w:rPr>
        <w:br/>
      </w:r>
      <m:oMath>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t</m:t>
            </m:r>
          </m:sub>
        </m:sSub>
      </m:oMath>
      <w:r>
        <w:rPr>
          <w:rFonts w:ascii="Times New Roman" w:hAnsi="Times New Roman" w:cs="Times New Roman"/>
        </w:rPr>
        <w:t xml:space="preserve"> represents the year fixed effects, and</w:t>
      </w:r>
      <w:r>
        <w:rPr>
          <w:rFonts w:ascii="Times New Roman" w:hAnsi="Times New Roman" w:cs="Times New Roman"/>
        </w:rPr>
        <w:br/>
      </w:r>
      <m:oMath>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it</m:t>
            </m:r>
          </m:sub>
        </m:sSub>
      </m:oMath>
      <w:r>
        <w:rPr>
          <w:rFonts w:ascii="Times New Roman" w:hAnsi="Times New Roman" w:cs="Times New Roman"/>
        </w:rPr>
        <w:t xml:space="preserve"> represents the randomized disturbance term.</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Referring to the mediation effect test procedure proposed by existing scholars' studies, the test analyzes the mediation effect of R&amp;D investment between firms' ESG performance and dual innovation, where Invest</w:t>
      </w:r>
      <w:r>
        <w:rPr>
          <w:rFonts w:ascii="Times New Roman" w:hAnsi="Times New Roman" w:cs="Times New Roman"/>
          <w:vertAlign w:val="subscript"/>
        </w:rPr>
        <w:t>i</w:t>
      </w:r>
      <w:r>
        <w:rPr>
          <w:rFonts w:ascii="Times New Roman" w:hAnsi="Times New Roman" w:cs="Times New Roman"/>
          <w:vertAlign w:val="subscript"/>
        </w:rPr>
        <w:t>t</w:t>
      </w:r>
      <w:r>
        <w:rPr>
          <w:rFonts w:ascii="Times New Roman" w:hAnsi="Times New Roman" w:cs="Times New Roman"/>
        </w:rPr>
        <w:t>represents the level of R&amp;D investment of the ith firm in year t. The specific model is shown below:</w:t>
      </w:r>
    </w:p>
    <w:p w:rsidR="00006929" w:rsidRDefault="00B02CDC">
      <w:pPr>
        <w:spacing w:line="360" w:lineRule="auto"/>
        <w:ind w:firstLineChars="200" w:firstLine="420"/>
        <w:rPr>
          <w:rFonts w:ascii="Times New Roman" w:hAnsi="Times New Roman" w:cs="Times New Roman"/>
        </w:rPr>
      </w:pPr>
      <m:oMathPara>
        <m:oMath>
          <m:sSub>
            <m:sSubPr>
              <m:ctrlPr>
                <w:rPr>
                  <w:rFonts w:ascii="Cambria Math" w:hAnsi="Cambria Math" w:cs="Times New Roman"/>
                </w:rPr>
              </m:ctrlPr>
            </m:sSubPr>
            <m:e>
              <m:r>
                <m:rPr>
                  <m:sty m:val="p"/>
                </m:rPr>
                <w:rPr>
                  <w:rFonts w:ascii="Cambria Math" w:hAnsi="Cambria Math" w:cs="Times New Roman"/>
                </w:rPr>
                <m:t>Invest</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ESG</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Control</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h</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Explora</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ESG</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Invest</m:t>
              </m:r>
            </m:e>
            <m:sub>
              <m:r>
                <w:rPr>
                  <w:rFonts w:ascii="Cambria Math" w:hAnsi="Cambria Math" w:cs="Times New Roman"/>
                </w:rPr>
                <m:t>it</m:t>
              </m:r>
            </m:sub>
          </m:sSub>
          <m:r>
            <w:rPr>
              <w:rFonts w:ascii="Cambria Math" w:hAnsi="Cambria Math" w:cs="Times New Roman"/>
            </w:rPr>
            <m:t>+</m:t>
          </m:r>
          <m:r>
            <m:rPr>
              <m:sty m:val="p"/>
            </m:rPr>
            <w:rPr>
              <w:rFonts w:ascii="Cambria Math" w:hAnsi="Cambria Math" w:cs="Times New Roman"/>
            </w:rPr>
            <m:t>Σ</m:t>
          </m:r>
          <m:sSub>
            <m:sSubPr>
              <m:ctrlPr>
                <w:rPr>
                  <w:rFonts w:ascii="Cambria Math" w:hAnsi="Cambria Math" w:cs="Times New Roman"/>
                </w:rPr>
              </m:ctrlPr>
            </m:sSubPr>
            <m:e>
              <m:r>
                <m:rPr>
                  <m:sty m:val="p"/>
                </m:rPr>
                <w:rPr>
                  <w:rFonts w:ascii="Cambria Math" w:hAnsi="Cambria Math" w:cs="Times New Roman"/>
                </w:rPr>
                <m:t>Control</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h</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it</m:t>
              </m:r>
            </m:sub>
          </m:sSub>
          <m:sSub>
            <m:sSubPr>
              <m:ctrlPr>
                <w:rPr>
                  <w:rFonts w:ascii="Cambria Math" w:hAnsi="Cambria Math" w:cs="Times New Roman"/>
                </w:rPr>
              </m:ctrlPr>
            </m:sSubPr>
            <m:e>
              <m:r>
                <m:rPr>
                  <m:sty m:val="p"/>
                </m:rPr>
                <w:rPr>
                  <w:rFonts w:ascii="Cambria Math" w:hAnsi="Cambria Math" w:cs="Times New Roman"/>
                </w:rPr>
                <m:t>Exploriu</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0</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1</m:t>
              </m:r>
            </m:sub>
          </m:sSub>
          <m:sSub>
            <m:sSubPr>
              <m:ctrlPr>
                <w:rPr>
                  <w:rFonts w:ascii="Cambria Math" w:hAnsi="Cambria Math" w:cs="Times New Roman"/>
                </w:rPr>
              </m:ctrlPr>
            </m:sSubPr>
            <m:e>
              <m:r>
                <m:rPr>
                  <m:sty m:val="p"/>
                </m:rPr>
                <w:rPr>
                  <w:rFonts w:ascii="Cambria Math" w:hAnsi="Cambria Math" w:cs="Times New Roman"/>
                </w:rPr>
                <m:t>ESG</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2</m:t>
              </m:r>
            </m:sub>
          </m:sSub>
          <m:sSub>
            <m:sSubPr>
              <m:ctrlPr>
                <w:rPr>
                  <w:rFonts w:ascii="Cambria Math" w:hAnsi="Cambria Math" w:cs="Times New Roman"/>
                </w:rPr>
              </m:ctrlPr>
            </m:sSubPr>
            <m:e>
              <m:r>
                <m:rPr>
                  <m:sty m:val="p"/>
                </m:rPr>
                <w:rPr>
                  <w:rFonts w:ascii="Cambria Math" w:hAnsi="Cambria Math" w:cs="Times New Roman"/>
                </w:rPr>
                <m:t>Invest</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m:rPr>
                  <m:sty m:val="p"/>
                </m:rPr>
                <w:rPr>
                  <w:rFonts w:ascii="Cambria Math" w:hAnsi="Cambria Math" w:cs="Times New Roman"/>
                </w:rPr>
                <m:t>Control</m:t>
              </m:r>
            </m:e>
            <m:sub>
              <m:r>
                <w:rPr>
                  <w:rFonts w:ascii="Cambria Math" w:hAnsi="Cambria Math" w:cs="Times New Roman"/>
                </w:rPr>
                <m:t>it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h</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t</m:t>
              </m:r>
            </m:sub>
          </m:sSub>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it</m:t>
              </m:r>
            </m:sub>
          </m:sSub>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At the same time, a cross term between the degree of digital transformation and the performance of enterprises is introduced, where Digital</w:t>
      </w:r>
      <w:r>
        <w:rPr>
          <w:rFonts w:ascii="Times New Roman" w:hAnsi="Times New Roman" w:cs="Times New Roman"/>
          <w:vertAlign w:val="subscript"/>
        </w:rPr>
        <w:t>it</w:t>
      </w:r>
      <w:r>
        <w:rPr>
          <w:rFonts w:ascii="Times New Roman" w:hAnsi="Times New Roman" w:cs="Times New Roman"/>
        </w:rPr>
        <w:t>represents the level of digital transformation of the ith enterprise in ye</w:t>
      </w:r>
      <w:r>
        <w:rPr>
          <w:rFonts w:ascii="Times New Roman" w:hAnsi="Times New Roman" w:cs="Times New Roman"/>
        </w:rPr>
        <w:t>ar t. The specific model is shown below:</w:t>
      </w:r>
    </w:p>
    <w:p w:rsidR="00006929" w:rsidRDefault="00B02CDC">
      <w:pPr>
        <w:spacing w:line="360" w:lineRule="auto"/>
        <w:ind w:firstLineChars="200" w:firstLine="420"/>
        <w:rPr>
          <w:rFonts w:ascii="Times New Roman" w:hAnsi="Times New Roman" w:cs="Times New Roman"/>
        </w:rPr>
      </w:pPr>
      <m:oMath>
        <m:r>
          <w:rPr>
            <w:rFonts w:ascii="Cambria Math" w:hAnsi="Cambria Math" w:cs="Times New Roman"/>
          </w:rPr>
          <m:t>Explorait</m:t>
        </m:r>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1</m:t>
            </m:r>
          </m:sub>
        </m:sSub>
        <m:r>
          <w:rPr>
            <w:rFonts w:ascii="Cambria Math" w:hAnsi="Cambria Math" w:cs="Times New Roman"/>
          </w:rPr>
          <m:t>Inves</m:t>
        </m:r>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2</m:t>
            </m:r>
          </m:sub>
        </m:sSub>
        <m:r>
          <w:rPr>
            <w:rFonts w:ascii="Cambria Math" w:hAnsi="Cambria Math" w:cs="Times New Roman"/>
          </w:rPr>
          <m:t>Digita</m:t>
        </m:r>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3</m:t>
            </m:r>
          </m:sub>
        </m:sSub>
        <m:r>
          <w:rPr>
            <w:rFonts w:ascii="Cambria Math" w:hAnsi="Cambria Math" w:cs="Times New Roman"/>
          </w:rPr>
          <m:t>Inves</m:t>
        </m:r>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it</m:t>
            </m:r>
          </m:sub>
        </m:sSub>
        <m:r>
          <m:rPr>
            <m:sty m:val="p"/>
          </m:rPr>
          <w:rPr>
            <w:rFonts w:ascii="Cambria Math" w:hAnsi="Cambria Math" w:cs="Times New Roman"/>
          </w:rPr>
          <m:t>×</m:t>
        </m:r>
        <m:r>
          <w:rPr>
            <w:rFonts w:ascii="Cambria Math" w:hAnsi="Cambria Math" w:cs="Times New Roman"/>
          </w:rPr>
          <m:t>Digita</m:t>
        </m:r>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it</m:t>
            </m:r>
          </m:sub>
        </m:sSub>
        <m:r>
          <m:rPr>
            <m:sty m:val="p"/>
          </m:rPr>
          <w:rPr>
            <w:rFonts w:ascii="Cambria Math" w:hAnsi="Cambria Math" w:cs="Times New Roman"/>
          </w:rPr>
          <m:t>+∑</m:t>
        </m:r>
        <m:r>
          <w:rPr>
            <w:rFonts w:ascii="Cambria Math" w:hAnsi="Cambria Math" w:cs="Times New Roman"/>
          </w:rPr>
          <m:t>Contro</m:t>
        </m:r>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h</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it</m:t>
            </m:r>
          </m:sub>
        </m:sSub>
      </m:oMath>
      <w:r>
        <w:rPr>
          <w:rFonts w:ascii="Times New Roman" w:hAnsi="Times New Roman" w:cs="Times New Roman"/>
        </w:rPr>
        <w:t xml:space="preserve"> </w:t>
      </w:r>
      <m:oMath>
        <m:r>
          <w:rPr>
            <w:rFonts w:ascii="Cambria Math" w:hAnsi="Cambria Math" w:cs="Times New Roman"/>
          </w:rPr>
          <m:t>Exploriu</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0</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1</m:t>
            </m:r>
          </m:sub>
        </m:sSub>
        <m:r>
          <w:rPr>
            <w:rFonts w:ascii="Cambria Math" w:hAnsi="Cambria Math" w:cs="Times New Roman"/>
          </w:rPr>
          <m:t>Inves</m:t>
        </m:r>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2</m:t>
            </m:r>
          </m:sub>
        </m:sSub>
        <m:r>
          <w:rPr>
            <w:rFonts w:ascii="Cambria Math" w:hAnsi="Cambria Math" w:cs="Times New Roman"/>
          </w:rPr>
          <m:t>Digita</m:t>
        </m:r>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α</m:t>
            </m:r>
          </m:e>
          <m:sub>
            <m:r>
              <w:rPr>
                <w:rFonts w:ascii="Cambria Math" w:hAnsi="Cambria Math" w:cs="Times New Roman"/>
              </w:rPr>
              <m:t>3</m:t>
            </m:r>
          </m:sub>
        </m:sSub>
        <m:r>
          <w:rPr>
            <w:rFonts w:ascii="Cambria Math" w:hAnsi="Cambria Math" w:cs="Times New Roman"/>
          </w:rPr>
          <m:t>Inves</m:t>
        </m:r>
        <m:sSub>
          <m:sSubPr>
            <m:ctrlPr>
              <w:rPr>
                <w:rFonts w:ascii="Cambria Math" w:hAnsi="Cambria Math" w:cs="Times New Roman"/>
              </w:rPr>
            </m:ctrlPr>
          </m:sSubPr>
          <m:e>
            <m:r>
              <w:rPr>
                <w:rFonts w:ascii="Cambria Math" w:hAnsi="Cambria Math" w:cs="Times New Roman"/>
              </w:rPr>
              <m:t>t</m:t>
            </m:r>
          </m:e>
          <m:sub>
            <m:r>
              <w:rPr>
                <w:rFonts w:ascii="Cambria Math" w:hAnsi="Cambria Math" w:cs="Times New Roman"/>
              </w:rPr>
              <m:t>it</m:t>
            </m:r>
          </m:sub>
        </m:sSub>
        <m:r>
          <m:rPr>
            <m:sty m:val="p"/>
          </m:rPr>
          <w:rPr>
            <w:rFonts w:ascii="Cambria Math" w:hAnsi="Cambria Math" w:cs="Times New Roman"/>
          </w:rPr>
          <m:t>×</m:t>
        </m:r>
        <m:r>
          <w:rPr>
            <w:rFonts w:ascii="Cambria Math" w:hAnsi="Cambria Math" w:cs="Times New Roman"/>
          </w:rPr>
          <m:t>Digita</m:t>
        </m:r>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it</m:t>
            </m:r>
          </m:sub>
        </m:sSub>
        <m:r>
          <m:rPr>
            <m:sty m:val="p"/>
          </m:rPr>
          <w:rPr>
            <w:rFonts w:ascii="Cambria Math" w:hAnsi="Cambria Math" w:cs="Times New Roman"/>
          </w:rPr>
          <m:t>+∑</m:t>
        </m:r>
        <m:r>
          <w:rPr>
            <w:rFonts w:ascii="Cambria Math" w:hAnsi="Cambria Math" w:cs="Times New Roman"/>
          </w:rPr>
          <m:t>Contro</m:t>
        </m:r>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it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h</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δ</m:t>
            </m:r>
          </m:e>
          <m:sub>
            <m:r>
              <w:rPr>
                <w:rFonts w:ascii="Cambria Math" w:hAnsi="Cambria Math" w:cs="Times New Roman"/>
              </w:rPr>
              <m:t>t</m:t>
            </m:r>
          </m:sub>
        </m:sSub>
        <m:r>
          <m:rPr>
            <m:sty m:val="p"/>
          </m:rP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ε</m:t>
            </m:r>
          </m:e>
          <m:sub>
            <m:r>
              <w:rPr>
                <w:rFonts w:ascii="Cambria Math" w:hAnsi="Cambria Math" w:cs="Times New Roman"/>
              </w:rPr>
              <m:t>it</m:t>
            </m:r>
          </m:sub>
        </m:sSub>
      </m:oMath>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lastRenderedPageBreak/>
        <w:t>The coefficient of determination, R</w:t>
      </w:r>
      <w:r>
        <w:rPr>
          <w:rFonts w:ascii="Times New Roman" w:hAnsi="Times New Roman" w:cs="Times New Roman"/>
          <w:vertAlign w:val="superscript"/>
        </w:rPr>
        <w:t>(2),</w:t>
      </w:r>
      <w:r>
        <w:rPr>
          <w:rFonts w:ascii="Times New Roman" w:hAnsi="Times New Roman" w:cs="Times New Roman"/>
        </w:rPr>
        <w:t>assesses the fit of the model and is given in the following formula:</w:t>
      </w:r>
    </w:p>
    <w:p w:rsidR="00006929" w:rsidRDefault="00B02CDC">
      <w:pPr>
        <w:spacing w:line="360" w:lineRule="auto"/>
        <w:ind w:firstLineChars="200" w:firstLine="420"/>
        <w:rPr>
          <w:rFonts w:ascii="Times New Roman" w:hAnsi="Times New Roman" w:cs="Times New Roman"/>
        </w:rPr>
      </w:pPr>
      <m:oMathPara>
        <m:oMath>
          <m:sSup>
            <m:sSupPr>
              <m:ctrlPr>
                <w:rPr>
                  <w:rFonts w:ascii="Cambria Math" w:hAnsi="Cambria Math" w:cs="Times New Roman"/>
                </w:rPr>
              </m:ctrlPr>
            </m:sSupPr>
            <m:e>
              <m:r>
                <w:rPr>
                  <w:rFonts w:ascii="Cambria Math" w:hAnsi="Cambria Math" w:cs="Times New Roman"/>
                </w:rPr>
                <m:t>R</m:t>
              </m:r>
            </m:e>
            <m:sup>
              <m:r>
                <w:rPr>
                  <w:rFonts w:ascii="Cambria Math" w:hAnsi="Cambria Math" w:cs="Times New Roman"/>
                </w:rPr>
                <m:t>2</m:t>
              </m:r>
            </m:sup>
          </m:sSup>
          <m:r>
            <w:rPr>
              <w:rFonts w:ascii="Cambria Math" w:hAnsi="Cambria Math" w:cs="Times New Roman"/>
            </w:rPr>
            <m:t>=1-</m:t>
          </m:r>
          <m:f>
            <m:fPr>
              <m:ctrlPr>
                <w:rPr>
                  <w:rFonts w:ascii="Cambria Math" w:hAnsi="Cambria Math" w:cs="Times New Roman"/>
                </w:rPr>
              </m:ctrlPr>
            </m:fPr>
            <m:num>
              <m:r>
                <w:rPr>
                  <w:rFonts w:ascii="Cambria Math" w:hAnsi="Cambria Math" w:cs="Times New Roman"/>
                </w:rPr>
                <m:t>S</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res</m:t>
                  </m:r>
                </m:sub>
              </m:sSub>
            </m:num>
            <m:den>
              <m:r>
                <w:rPr>
                  <w:rFonts w:ascii="Cambria Math" w:hAnsi="Cambria Math" w:cs="Times New Roman"/>
                </w:rPr>
                <m:t>S</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tot</m:t>
                  </m:r>
                </m:sub>
              </m:sSub>
            </m:den>
          </m:f>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the above equation, SS</w:t>
      </w:r>
      <w:r>
        <w:rPr>
          <w:rFonts w:ascii="Times New Roman" w:hAnsi="Times New Roman" w:cs="Times New Roman"/>
          <w:vertAlign w:val="subscript"/>
        </w:rPr>
        <w:t>res</w:t>
      </w:r>
      <w:r>
        <w:rPr>
          <w:rFonts w:ascii="Times New Roman" w:hAnsi="Times New Roman" w:cs="Times New Roman"/>
        </w:rPr>
        <w:t>represents the residu</w:t>
      </w:r>
      <w:r>
        <w:rPr>
          <w:rFonts w:ascii="Times New Roman" w:hAnsi="Times New Roman" w:cs="Times New Roman"/>
        </w:rPr>
        <w:t>al sum of squares and SS</w:t>
      </w:r>
      <w:r>
        <w:rPr>
          <w:rFonts w:ascii="Times New Roman" w:hAnsi="Times New Roman" w:cs="Times New Roman"/>
          <w:vertAlign w:val="subscript"/>
        </w:rPr>
        <w:t>tot</w:t>
      </w:r>
      <w:r>
        <w:rPr>
          <w:rFonts w:ascii="Times New Roman" w:hAnsi="Times New Roman" w:cs="Times New Roman"/>
        </w:rPr>
        <w:t>represents the total sum of squares.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The test of significance of the regression coefficients is the t-test, which can determine whether the regression coefficients are significantly non-zero or not, and the specific formula is as</w:t>
      </w:r>
      <w:r>
        <w:rPr>
          <w:rFonts w:ascii="Times New Roman" w:hAnsi="Times New Roman" w:cs="Times New Roman"/>
        </w:rPr>
        <w:t xml:space="preserve"> follows:</w:t>
      </w:r>
    </w:p>
    <w:p w:rsidR="00006929" w:rsidRDefault="00B02CDC">
      <w:pPr>
        <w:spacing w:line="360" w:lineRule="auto"/>
        <w:ind w:firstLineChars="200" w:firstLine="420"/>
        <w:rPr>
          <w:rFonts w:ascii="Times New Roman" w:hAnsi="Times New Roman" w:cs="Times New Roman"/>
        </w:rPr>
      </w:pPr>
      <m:oMathPara>
        <m:oMath>
          <m:r>
            <w:rPr>
              <w:rFonts w:ascii="Cambria Math" w:hAnsi="Cambria Math" w:cs="Times New Roman"/>
            </w:rPr>
            <m:t>t</m:t>
          </m:r>
          <m:r>
            <w:rPr>
              <w:rFonts w:ascii="Cambria Math" w:hAnsi="Cambria Math" w:cs="Times New Roman"/>
            </w:rPr>
            <m:t>=</m:t>
          </m:r>
          <m:f>
            <m:fPr>
              <m:ctrlPr>
                <w:rPr>
                  <w:rFonts w:ascii="Cambria Math" w:hAnsi="Cambria Math" w:cs="Times New Roman"/>
                </w:rPr>
              </m:ctrlPr>
            </m:fPr>
            <m:num>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rPr>
                        <m:t>β</m:t>
                      </m:r>
                    </m:e>
                  </m:acc>
                </m:e>
                <m:sub>
                  <m:r>
                    <w:rPr>
                      <w:rFonts w:ascii="Cambria Math" w:hAnsi="Cambria Math" w:cs="Times New Roman"/>
                    </w:rPr>
                    <m:t>i</m:t>
                  </m:r>
                </m:sub>
              </m:sSub>
            </m:num>
            <m:den>
              <m:r>
                <w:rPr>
                  <w:rFonts w:ascii="Cambria Math" w:hAnsi="Cambria Math" w:cs="Times New Roman"/>
                </w:rPr>
                <m:t>SE</m:t>
              </m:r>
              <m:r>
                <w:rPr>
                  <w:rFonts w:ascii="Cambria Math" w:hAnsi="Cambria Math" w:cs="Times New Roman"/>
                </w:rPr>
                <m:t>(</m:t>
              </m:r>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rPr>
                        <m:t>β</m:t>
                      </m:r>
                    </m:e>
                  </m:acc>
                </m:e>
                <m:sub>
                  <m:r>
                    <w:rPr>
                      <w:rFonts w:ascii="Cambria Math" w:hAnsi="Cambria Math" w:cs="Times New Roman"/>
                    </w:rPr>
                    <m:t>i</m:t>
                  </m:r>
                </m:sub>
              </m:sSub>
              <m:r>
                <w:rPr>
                  <w:rFonts w:ascii="Cambria Math" w:hAnsi="Cambria Math" w:cs="Times New Roman"/>
                </w:rPr>
                <m:t>)</m:t>
              </m:r>
            </m:den>
          </m:f>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the above equation,</w:t>
      </w:r>
      <m:oMath>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rPr>
                  <m:t>β</m:t>
                </m:r>
              </m:e>
            </m:acc>
          </m:e>
          <m:sub>
            <m:r>
              <w:rPr>
                <w:rFonts w:ascii="Cambria Math" w:hAnsi="Cambria Math" w:cs="Times New Roman"/>
              </w:rPr>
              <m:t>i</m:t>
            </m:r>
          </m:sub>
        </m:sSub>
      </m:oMath>
      <w:r>
        <w:rPr>
          <w:rFonts w:ascii="Times New Roman" w:hAnsi="Times New Roman" w:cs="Times New Roman"/>
        </w:rPr>
        <w:t xml:space="preserve"> represents the estimated value of the regression coefficient and</w:t>
      </w:r>
      <m:oMath>
        <m:r>
          <w:rPr>
            <w:rFonts w:ascii="Cambria Math" w:hAnsi="Cambria Math" w:cs="Times New Roman"/>
          </w:rPr>
          <m:t>SE</m:t>
        </m:r>
        <m:r>
          <w:rPr>
            <w:rFonts w:ascii="Cambria Math" w:hAnsi="Cambria Math" w:cs="Times New Roman"/>
          </w:rPr>
          <m:t>(</m:t>
        </m:r>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rPr>
                  <m:t>β</m:t>
                </m:r>
              </m:e>
            </m:acc>
          </m:e>
          <m:sub>
            <m:r>
              <w:rPr>
                <w:rFonts w:ascii="Cambria Math" w:hAnsi="Cambria Math" w:cs="Times New Roman"/>
              </w:rPr>
              <m:t>i</m:t>
            </m:r>
          </m:sub>
        </m:sSub>
        <m:r>
          <w:rPr>
            <w:rFonts w:ascii="Cambria Math" w:hAnsi="Cambria Math" w:cs="Times New Roman"/>
          </w:rPr>
          <m:t>)</m:t>
        </m:r>
      </m:oMath>
      <w:r>
        <w:rPr>
          <w:rFonts w:ascii="Times New Roman" w:hAnsi="Times New Roman" w:cs="Times New Roman"/>
        </w:rPr>
        <w:t xml:space="preserve"> represents the standard deviation of the regression coefficient.</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The formula for calculating the standard deviation is as foll</w:t>
      </w:r>
      <w:r>
        <w:rPr>
          <w:rFonts w:ascii="Times New Roman" w:hAnsi="Times New Roman" w:cs="Times New Roman"/>
        </w:rPr>
        <w:t>ows:</w:t>
      </w:r>
    </w:p>
    <w:p w:rsidR="00006929" w:rsidRDefault="00B02CDC">
      <w:pPr>
        <w:spacing w:line="360" w:lineRule="auto"/>
        <w:ind w:firstLineChars="200" w:firstLine="420"/>
        <w:rPr>
          <w:rFonts w:ascii="Times New Roman" w:hAnsi="Times New Roman" w:cs="Times New Roman"/>
        </w:rPr>
      </w:pPr>
      <m:oMathPara>
        <m:oMath>
          <m:r>
            <w:rPr>
              <w:rFonts w:ascii="Cambria Math" w:hAnsi="Cambria Math" w:cs="Times New Roman"/>
            </w:rPr>
            <m:t>SE</m:t>
          </m:r>
          <m:r>
            <w:rPr>
              <w:rFonts w:ascii="Cambria Math" w:hAnsi="Cambria Math" w:cs="Times New Roman"/>
            </w:rPr>
            <m:t>(</m:t>
          </m:r>
          <m:sSub>
            <m:sSubPr>
              <m:ctrlPr>
                <w:rPr>
                  <w:rFonts w:ascii="Cambria Math" w:hAnsi="Cambria Math" w:cs="Times New Roman"/>
                </w:rPr>
              </m:ctrlPr>
            </m:sSubPr>
            <m:e>
              <m:acc>
                <m:accPr>
                  <m:ctrlPr>
                    <w:rPr>
                      <w:rFonts w:ascii="Cambria Math" w:hAnsi="Cambria Math" w:cs="Times New Roman"/>
                    </w:rPr>
                  </m:ctrlPr>
                </m:accPr>
                <m:e>
                  <m:r>
                    <w:rPr>
                      <w:rFonts w:ascii="Cambria Math" w:hAnsi="Cambria Math" w:cs="Times New Roman"/>
                    </w:rPr>
                    <m:t>β</m:t>
                  </m:r>
                </m:e>
              </m:acc>
            </m:e>
            <m:sub>
              <m:r>
                <w:rPr>
                  <w:rFonts w:ascii="Cambria Math" w:hAnsi="Cambria Math" w:cs="Times New Roman"/>
                </w:rPr>
                <m:t>1</m:t>
              </m:r>
            </m:sub>
          </m:sSub>
          <m:r>
            <w:rPr>
              <w:rFonts w:ascii="Cambria Math" w:hAnsi="Cambria Math" w:cs="Times New Roman"/>
            </w:rPr>
            <m:t>)=</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rPr>
                    <m:t>S</m:t>
                  </m:r>
                  <m:sSub>
                    <m:sSubPr>
                      <m:ctrlPr>
                        <w:rPr>
                          <w:rFonts w:ascii="Cambria Math" w:hAnsi="Cambria Math" w:cs="Times New Roman"/>
                        </w:rPr>
                      </m:ctrlPr>
                    </m:sSubPr>
                    <m:e>
                      <m:r>
                        <w:rPr>
                          <w:rFonts w:ascii="Cambria Math" w:hAnsi="Cambria Math" w:cs="Times New Roman"/>
                        </w:rPr>
                        <m:t>S</m:t>
                      </m:r>
                    </m:e>
                    <m:sub>
                      <m:r>
                        <w:rPr>
                          <w:rFonts w:ascii="Cambria Math" w:hAnsi="Cambria Math" w:cs="Times New Roman"/>
                        </w:rPr>
                        <m:t>res</m:t>
                      </m:r>
                    </m:sub>
                  </m:sSub>
                </m:num>
                <m:den>
                  <m:r>
                    <w:rPr>
                      <w:rFonts w:ascii="Cambria Math" w:hAnsi="Cambria Math" w:cs="Times New Roman"/>
                    </w:rPr>
                    <m:t>(</m:t>
                  </m:r>
                  <m:r>
                    <w:rPr>
                      <w:rFonts w:ascii="Cambria Math" w:hAnsi="Cambria Math" w:cs="Times New Roman"/>
                    </w:rPr>
                    <m:t>n</m:t>
                  </m:r>
                  <m:r>
                    <w:rPr>
                      <w:rFonts w:ascii="Cambria Math" w:hAnsi="Cambria Math" w:cs="Times New Roman"/>
                    </w:rPr>
                    <m:t>-</m:t>
                  </m:r>
                  <m:r>
                    <w:rPr>
                      <w:rFonts w:ascii="Cambria Math" w:hAnsi="Cambria Math" w:cs="Times New Roman"/>
                    </w:rPr>
                    <m:t>2)∑(</m:t>
                  </m:r>
                  <m:sSub>
                    <m:sSubPr>
                      <m:ctrlPr>
                        <w:rPr>
                          <w:rFonts w:ascii="Cambria Math" w:hAnsi="Cambria Math" w:cs="Times New Roman"/>
                        </w:rPr>
                      </m:ctrlPr>
                    </m:sSubPr>
                    <m:e>
                      <m:r>
                        <w:rPr>
                          <w:rFonts w:ascii="Cambria Math" w:hAnsi="Cambria Math" w:cs="Times New Roman"/>
                        </w:rPr>
                        <m:t>X</m:t>
                      </m:r>
                    </m:e>
                    <m:sub>
                      <m:r>
                        <w:rPr>
                          <w:rFonts w:ascii="Cambria Math" w:hAnsi="Cambria Math" w:cs="Times New Roman"/>
                        </w:rPr>
                        <m:t>i</m:t>
                      </m:r>
                    </m:sub>
                  </m:sSub>
                  <m:r>
                    <w:rPr>
                      <w:rFonts w:ascii="Cambria Math" w:hAnsi="Cambria Math" w:cs="Times New Roman"/>
                    </w:rPr>
                    <m:t>-</m:t>
                  </m:r>
                  <m:acc>
                    <m:accPr>
                      <m:chr m:val="̅"/>
                      <m:ctrlPr>
                        <w:rPr>
                          <w:rFonts w:ascii="Cambria Math" w:hAnsi="Cambria Math" w:cs="Times New Roman"/>
                        </w:rPr>
                      </m:ctrlPr>
                    </m:accPr>
                    <m:e>
                      <m:r>
                        <w:rPr>
                          <w:rFonts w:ascii="Cambria Math" w:hAnsi="Cambria Math" w:cs="Times New Roman"/>
                        </w:rPr>
                        <m:t>X</m:t>
                      </m:r>
                    </m:e>
                  </m:acc>
                  <m:sSup>
                    <m:sSupPr>
                      <m:ctrlPr>
                        <w:rPr>
                          <w:rFonts w:ascii="Cambria Math" w:hAnsi="Cambria Math" w:cs="Times New Roman"/>
                        </w:rPr>
                      </m:ctrlPr>
                    </m:sSupPr>
                    <m:e>
                      <m:r>
                        <w:rPr>
                          <w:rFonts w:ascii="Cambria Math" w:hAnsi="Cambria Math" w:cs="Times New Roman"/>
                        </w:rPr>
                        <m:t>)</m:t>
                      </m:r>
                    </m:e>
                    <m:sup>
                      <m:r>
                        <w:rPr>
                          <w:rFonts w:ascii="Cambria Math" w:hAnsi="Cambria Math" w:cs="Times New Roman"/>
                        </w:rPr>
                        <m:t>2</m:t>
                      </m:r>
                    </m:sup>
                  </m:sSup>
                </m:den>
              </m:f>
            </m:e>
          </m:rad>
        </m:oMath>
      </m:oMathPara>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the above equation, n represents the number of samples and</w:t>
      </w:r>
      <m:oMath>
        <m:r>
          <w:rPr>
            <w:rFonts w:ascii="Cambria Math" w:hAnsi="Cambria Math" w:cs="Times New Roman"/>
          </w:rPr>
          <m:t>X</m:t>
        </m:r>
      </m:oMath>
      <w:r>
        <w:rPr>
          <w:rFonts w:ascii="Times New Roman" w:hAnsi="Times New Roman" w:cs="Times New Roman"/>
        </w:rPr>
        <w:t xml:space="preserve"> represents the average value of the independent variables.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Descriptive analysis based on the above model can find that the standard deviation of ente</w:t>
      </w:r>
      <w:r>
        <w:rPr>
          <w:rFonts w:ascii="Times New Roman" w:hAnsi="Times New Roman" w:cs="Times New Roman"/>
        </w:rPr>
        <w:t>rprise breakthrough innovation and progressive creation can reach 1.581 and 1.582 respectively, and the minimum value of enterprise ESG score is 11.98, and the maximum value is 47.11.The results of the experimental data show that under the existing competi</w:t>
      </w:r>
      <w:r>
        <w:rPr>
          <w:rFonts w:ascii="Times New Roman" w:hAnsi="Times New Roman" w:cs="Times New Roman"/>
        </w:rPr>
        <w:t>tive environment, ESG investment as a focus of attention in the capital market, both government departments and enterprises should formulate effective measures for ESG, actively guide enterprises to comprehensively practice ESG concepts, strictly supervise</w:t>
      </w:r>
      <w:r>
        <w:rPr>
          <w:rFonts w:ascii="Times New Roman" w:hAnsi="Times New Roman" w:cs="Times New Roman"/>
        </w:rPr>
        <w:t xml:space="preserve"> the ESG investment behavior of enterprises, prompt enterprises to actively disclose ESG reports, establish professional ESG databases, and facilitate investment institutions to obtain ESG data information of enterprises, improve ESG performance of enterpr</w:t>
      </w:r>
      <w:r>
        <w:rPr>
          <w:rFonts w:ascii="Times New Roman" w:hAnsi="Times New Roman" w:cs="Times New Roman"/>
        </w:rPr>
        <w:t xml:space="preserve">ises, and increase the development of ESG investment. In </w:t>
      </w:r>
      <w:r>
        <w:rPr>
          <w:rFonts w:ascii="Times New Roman" w:hAnsi="Times New Roman" w:cs="Times New Roman"/>
        </w:rPr>
        <w:lastRenderedPageBreak/>
        <w:t>addition, ESG investment will be promoted based on the evaluation system of ESG, which serves as an effective bridge between ESG disclosure and investment application, and is also the basic condition</w:t>
      </w:r>
      <w:r>
        <w:rPr>
          <w:rFonts w:ascii="Times New Roman" w:hAnsi="Times New Roman" w:cs="Times New Roman"/>
        </w:rPr>
        <w:t xml:space="preserve"> for enterprises to obtain ESG investment. At this stage, the authoritative organizations that provide ESG data include the Social Value Investment Alliance, Business Way Rong Green, etc. However, ESG, as a foreign investment concept and evaluation standar</w:t>
      </w:r>
      <w:r>
        <w:rPr>
          <w:rFonts w:ascii="Times New Roman" w:hAnsi="Times New Roman" w:cs="Times New Roman"/>
        </w:rPr>
        <w:t>d, must be based on the consideration of China's basic national conditions, and encourage and support the joint participation of the government, the community, and the enterprises, so as to improve the ESG evaluation system, comprehensively promote the con</w:t>
      </w:r>
      <w:r>
        <w:rPr>
          <w:rFonts w:ascii="Times New Roman" w:hAnsi="Times New Roman" w:cs="Times New Roman"/>
        </w:rPr>
        <w:t>cept of ESG industry development, and prompt the construction and management of the Chineseization of ESG evaluation.</w:t>
      </w:r>
    </w:p>
    <w:p w:rsidR="00006929" w:rsidRDefault="00B02CDC">
      <w:pPr>
        <w:spacing w:line="360" w:lineRule="auto"/>
        <w:ind w:firstLineChars="200" w:firstLine="422"/>
        <w:rPr>
          <w:rFonts w:ascii="Times New Roman" w:hAnsi="Times New Roman" w:cs="Times New Roman"/>
        </w:rPr>
      </w:pPr>
      <w:r>
        <w:rPr>
          <w:rFonts w:ascii="Times New Roman" w:hAnsi="Times New Roman" w:cs="Times New Roman"/>
          <w:b/>
          <w:bCs/>
        </w:rPr>
        <w:t>Conclu</w:t>
      </w:r>
      <w:r>
        <w:rPr>
          <w:rFonts w:ascii="Times New Roman" w:hAnsi="Times New Roman" w:cs="Times New Roman"/>
          <w:b/>
          <w:bCs/>
        </w:rPr>
        <w:t>sion</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In summary, practicing ESG concept is both an effective way for enterprises to identify opportunity risks and an important meas</w:t>
      </w:r>
      <w:r>
        <w:rPr>
          <w:rFonts w:ascii="Times New Roman" w:hAnsi="Times New Roman" w:cs="Times New Roman"/>
        </w:rPr>
        <w:t xml:space="preserve">ure for enterprises to realize sustainable development goals. Therefore, when establishing the management system, enterprises should clarify the path of ESG implementation, actively recommend ESG practice work, and effectively disclose ESG information, so </w:t>
      </w:r>
      <w:r>
        <w:rPr>
          <w:rFonts w:ascii="Times New Roman" w:hAnsi="Times New Roman" w:cs="Times New Roman"/>
        </w:rPr>
        <w:t>as to contribute to the construction of the road of socialism with Chinese characteristics while obtaining more economic benefits.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References</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[1] Jiajie Wei. Drivers and mechanisms of ESG corporate performance creation from a stakeholder perspective[J]. Te</w:t>
      </w:r>
      <w:r>
        <w:rPr>
          <w:rFonts w:ascii="Times New Roman" w:hAnsi="Times New Roman" w:cs="Times New Roman"/>
        </w:rPr>
        <w:t>chnology Entrepreneurship Monthly, 2023, 36(11):87-92.</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[2] Yongsheng LIN, Yi</w:t>
      </w:r>
      <w:bookmarkStart w:id="0" w:name="_GoBack"/>
      <w:bookmarkEnd w:id="0"/>
      <w:r>
        <w:rPr>
          <w:rFonts w:ascii="Times New Roman" w:hAnsi="Times New Roman" w:cs="Times New Roman"/>
        </w:rPr>
        <w:t>fan ZHANG, Zhanfeng DONG. Analysis of corporate ESG performance drivers from a global perspective[J]. China Environmental Management, 2024, 16(1):16-26.</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[3] Yongchun HUANG, Di LIN,</w:t>
      </w:r>
      <w:r>
        <w:rPr>
          <w:rFonts w:ascii="Times New Roman" w:hAnsi="Times New Roman" w:cs="Times New Roman"/>
        </w:rPr>
        <w:t xml:space="preserve"> Shangshuo WU, et al. ESG Performance, R&amp;D Investment and Dual Innovation--An Introduction to the Moderating Role of Firms' Digital Transformation[J]. Resources and Industry, 2024, 26(4):75-90.</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[4] Junren Ming, Yaxian Feng, Zhangyang Xu, et al. ESG perform</w:t>
      </w:r>
      <w:r>
        <w:rPr>
          <w:rFonts w:ascii="Times New Roman" w:hAnsi="Times New Roman" w:cs="Times New Roman"/>
        </w:rPr>
        <w:t xml:space="preserve">ance and corporate green innovation performance: influence mechanism and empirical evidence[J]. Journal of Accountancy </w:t>
      </w:r>
      <w:r>
        <w:rPr>
          <w:rFonts w:ascii="Times New Roman" w:hAnsi="Times New Roman" w:cs="Times New Roman"/>
        </w:rPr>
        <w:lastRenderedPageBreak/>
        <w:t>and Finance, 2023(24):28-32.</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[5] Jiaojiao Chen, Heyu Ding, Xuemei Zhang. Does ESG performance affect customer relationship stability? [J]</w:t>
      </w:r>
      <w:r>
        <w:rPr>
          <w:rFonts w:ascii="Times New Roman" w:hAnsi="Times New Roman" w:cs="Times New Roman"/>
        </w:rPr>
        <w:t>. Securities Market Herald, 2023(3):13-23.</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[6] Qianyu Zhang, Yuerun Chen, Yuetang Wang. The driving effect of "reverse hybridization" on ESG of private enterprises[J]. Economic Issues, 2025(2):87-98.</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 xml:space="preserve">[7] Jun Liu. Research on the Motivation and Performance </w:t>
      </w:r>
      <w:r>
        <w:rPr>
          <w:rFonts w:ascii="Times New Roman" w:hAnsi="Times New Roman" w:cs="Times New Roman"/>
        </w:rPr>
        <w:t>of Corporate Green Governance under ESG Concept [J]. Modern Industrial Economy and Informatization, 2024, 14(7):150-153.</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[8] Wei Li. Research on the relationship between ESG performance and financial performance of manufacturing companies[J]. Small and med</w:t>
      </w:r>
      <w:r>
        <w:rPr>
          <w:rFonts w:ascii="Times New Roman" w:hAnsi="Times New Roman" w:cs="Times New Roman"/>
        </w:rPr>
        <w:t>ium-sized enterprise management and technology, 2024(12):42-44.</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[9] Wenxia Cai, Linlin Deng, Yu Liu. ESG performance and corporate financial performance under the dual-carbon goal - based on the moderating role of external pressure[J]. Financial Theory and</w:t>
      </w:r>
      <w:r>
        <w:rPr>
          <w:rFonts w:ascii="Times New Roman" w:hAnsi="Times New Roman" w:cs="Times New Roman"/>
        </w:rPr>
        <w:t xml:space="preserve"> Practice, 2023(6):69-81.</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[10] Qinfeng Shi, Feng Long, Xianming Duan, et al. The impact of ESG performance on corporate performance and incentive mechanism[J]. China Environmental Management, 2024, 16(4):34-43.</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 xml:space="preserve">[11] Junwei LIU, Qiuchen LIANG, Hua LIU. The </w:t>
      </w:r>
      <w:r>
        <w:rPr>
          <w:rFonts w:ascii="Times New Roman" w:hAnsi="Times New Roman" w:cs="Times New Roman"/>
        </w:rPr>
        <w:t>impact of dual motives of ESG disclosure on corporate green innovation performance - the mediating role of green image and the moderating role of value perception[J]. Science and Technology Progress and Countermeasures, 2024, 42(1):113-121.</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[12] D. Yu. ESG</w:t>
      </w:r>
      <w:r>
        <w:rPr>
          <w:rFonts w:ascii="Times New Roman" w:hAnsi="Times New Roman" w:cs="Times New Roman"/>
        </w:rPr>
        <w:t xml:space="preserve"> performance and corporate environmental performance: effect assessment and mechanism testing[J]. Modern Economic Discussion, 2024(10):91-103.</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[13] Yongjian Li, Wenyi Luo. How ESG promotes corporate innovation and development-an analysis based on supply ch</w:t>
      </w:r>
      <w:r>
        <w:rPr>
          <w:rFonts w:ascii="Times New Roman" w:hAnsi="Times New Roman" w:cs="Times New Roman"/>
        </w:rPr>
        <w:t>ain resilience[J]. Supply Chain Management, 2023, 4(7):81-96.</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 xml:space="preserve">[14] H. Zhang, X. Huang, Y. P. Li. Research on the mechanism of the impact of ESG performance on corporate performance--empirical evidence based on Chinese A-share listed </w:t>
      </w:r>
      <w:r>
        <w:rPr>
          <w:rFonts w:ascii="Times New Roman" w:hAnsi="Times New Roman" w:cs="Times New Roman"/>
        </w:rPr>
        <w:lastRenderedPageBreak/>
        <w:t>companies[J]. Wuhan Fin</w:t>
      </w:r>
      <w:r>
        <w:rPr>
          <w:rFonts w:ascii="Times New Roman" w:hAnsi="Times New Roman" w:cs="Times New Roman"/>
        </w:rPr>
        <w:t>ance, 2024(3):69-77.</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[15] Manru Huang. Research on the impact of ESG performance on corporate innovation performance[J]. Market Forum, 2024(4):21-25.</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[16] Zhuoying LI, Ziyao GAO, Qianyu LIN. Research Review and Prospect on the Influence Effect and Role Mec</w:t>
      </w:r>
      <w:r>
        <w:rPr>
          <w:rFonts w:ascii="Times New Roman" w:hAnsi="Times New Roman" w:cs="Times New Roman"/>
        </w:rPr>
        <w:t>hanism of ESG Disclosure on Corporate Performance[J]. Modern Business, 2024(19):55-58.</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[17] Ya Sun, Junyu Liang. Literature review on the impact of ESG investment on corporate performance[J]. Journal of Economic Management (Chinese and English Edition), 20</w:t>
      </w:r>
      <w:r>
        <w:rPr>
          <w:rFonts w:ascii="Times New Roman" w:hAnsi="Times New Roman" w:cs="Times New Roman"/>
        </w:rPr>
        <w:t>24, 13(2):95-98.</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[18] Xinyi Tang. An investigation of the influence mechanism of small and medium-sized enterprises' innovation ability, ESG performance and corporate performance[J]. Commercial Economy, 2025(5):143-146.</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[19] Aiping Zhu, Hongshan Wei. The r</w:t>
      </w:r>
      <w:r>
        <w:rPr>
          <w:rFonts w:ascii="Times New Roman" w:hAnsi="Times New Roman" w:cs="Times New Roman"/>
        </w:rPr>
        <w:t>elationship between ESG performance and corporate performance - A study of the moderating effect based on digital transformation[J]. Friends of Accounting, 2024(2):44-52.</w:t>
      </w:r>
    </w:p>
    <w:p w:rsidR="00006929" w:rsidRDefault="00B02CDC">
      <w:pPr>
        <w:spacing w:line="360" w:lineRule="auto"/>
        <w:ind w:firstLineChars="200" w:firstLine="420"/>
        <w:rPr>
          <w:rFonts w:ascii="Times New Roman" w:hAnsi="Times New Roman" w:cs="Times New Roman"/>
        </w:rPr>
      </w:pPr>
      <w:r>
        <w:rPr>
          <w:rFonts w:ascii="Times New Roman" w:hAnsi="Times New Roman" w:cs="Times New Roman"/>
        </w:rPr>
        <w:t>[20] Xinlan Wang, Jie Zhang, Nan Wang. ESG Disclosure, Debt Financing Cost and Firm P</w:t>
      </w:r>
      <w:r>
        <w:rPr>
          <w:rFonts w:ascii="Times New Roman" w:hAnsi="Times New Roman" w:cs="Times New Roman"/>
        </w:rPr>
        <w:t>erformance - Empirical Evidence Based on Listed Companies in Pharmaceutical Manufacturing Industry[J]. Friends of Accounting, 2023(13):82-91.</w:t>
      </w:r>
    </w:p>
    <w:sectPr w:rsidR="000069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CDC" w:rsidRDefault="00B02CDC">
      <w:pPr>
        <w:spacing w:line="240" w:lineRule="auto"/>
      </w:pPr>
      <w:r>
        <w:separator/>
      </w:r>
    </w:p>
  </w:endnote>
  <w:endnote w:type="continuationSeparator" w:id="0">
    <w:p w:rsidR="00B02CDC" w:rsidRDefault="00B02C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Arial Unicode MS"/>
    <w:charset w:val="86"/>
    <w:family w:val="auto"/>
    <w:pitch w:val="default"/>
    <w:sig w:usb0="00000000"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CDC" w:rsidRDefault="00B02CDC">
      <w:pPr>
        <w:spacing w:after="0"/>
      </w:pPr>
      <w:r>
        <w:separator/>
      </w:r>
    </w:p>
  </w:footnote>
  <w:footnote w:type="continuationSeparator" w:id="0">
    <w:p w:rsidR="00B02CDC" w:rsidRDefault="00B02CDC">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26C"/>
    <w:rsid w:val="00006929"/>
    <w:rsid w:val="002A4679"/>
    <w:rsid w:val="00785BEA"/>
    <w:rsid w:val="008555C3"/>
    <w:rsid w:val="008A3113"/>
    <w:rsid w:val="00B02CDC"/>
    <w:rsid w:val="00B3226C"/>
    <w:rsid w:val="15BF56EC"/>
    <w:rsid w:val="19966913"/>
    <w:rsid w:val="1B133EFC"/>
    <w:rsid w:val="30F43E89"/>
    <w:rsid w:val="45FB5A1D"/>
    <w:rsid w:val="4EC40C17"/>
    <w:rsid w:val="52B327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96E2251-53E8-43F6-A980-0E8FD426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60" w:line="278" w:lineRule="auto"/>
      <w:jc w:val="both"/>
    </w:pPr>
    <w:rPr>
      <w:rFonts w:asciiTheme="minorHAnsi" w:eastAsiaTheme="minorEastAsia" w:hAnsiTheme="minorHAnsi" w:cstheme="minorBidi"/>
      <w:kern w:val="2"/>
      <w:sz w:val="21"/>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Pr>
      <w:color w:val="0000FF"/>
      <w:u w:val="single"/>
    </w:rPr>
  </w:style>
  <w:style w:type="paragraph" w:customStyle="1" w:styleId="PINoSpace">
    <w:name w:val="PI_No Space"/>
    <w:basedOn w:val="Normal"/>
    <w:qFormat/>
    <w:pPr>
      <w:spacing w:line="180" w:lineRule="exact"/>
      <w:ind w:right="1600" w:firstLine="180"/>
    </w:pPr>
    <w:rPr>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3856</Words>
  <Characters>21984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iPad</dc:creator>
  <cp:keywords>, docId:F76FD6AA33FDB61A92D49BA869FF28C2</cp:keywords>
  <cp:lastModifiedBy>hp</cp:lastModifiedBy>
  <cp:revision>2</cp:revision>
  <dcterms:created xsi:type="dcterms:W3CDTF">2025-06-19T15:21:00Z</dcterms:created>
  <dcterms:modified xsi:type="dcterms:W3CDTF">2025-06-19T15:21:00Z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FBF32ECB07FC4EAAAAE47E3BCAE19DF7_13</vt:lpwstr>
  </property>
  <property fmtid="{D5CDD505-2E9C-101B-9397-08002B2CF9AE}" pid="4" name="KSOTemplateDocerSaveRecord">
    <vt:lpwstr>eyJoZGlkIjoiMDM2ZjU4MmYxNGJjZGE0Yjg2NTZmNzM4OTQ5ZWEzMTEiLCJ1c2VySWQiOiIxMTQyODcyNzIxIn0=</vt:lpwstr>
  </property>
</Properties>
</file>