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8EA" w:rsidRDefault="009B3883">
      <w:pPr>
        <w:spacing w:after="0" w:line="480" w:lineRule="auto"/>
        <w:contextualSpacing/>
        <w:jc w:val="center"/>
        <w:rPr>
          <w:rFonts w:ascii="Times New Roman" w:hAnsi="Times New Roman" w:cs="Times New Roman"/>
          <w:b/>
          <w:bCs/>
          <w:kern w:val="2"/>
          <w:sz w:val="24"/>
          <w:szCs w:val="24"/>
          <w:lang w:val="en-CA" w:eastAsia="zh-CN"/>
          <w14:ligatures w14:val="standardContextual"/>
        </w:rPr>
      </w:pPr>
      <w:r>
        <w:rPr>
          <w:rFonts w:ascii="Times New Roman" w:hAnsi="Times New Roman" w:cs="Times New Roman"/>
          <w:b/>
          <w:bCs/>
          <w:kern w:val="2"/>
          <w:sz w:val="24"/>
          <w:szCs w:val="24"/>
          <w:lang w:val="en-CA" w:eastAsia="zh-CN"/>
          <w14:ligatures w14:val="standardContextual"/>
        </w:rPr>
        <w:t>Reconstructing Public Communication: A Social Media-Based Model for Government Short Video Dissemination</w:t>
      </w:r>
    </w:p>
    <w:p w:rsidR="00D258EA" w:rsidRDefault="009B3883">
      <w:pPr>
        <w:pStyle w:val="pre-body"/>
        <w:spacing w:line="240" w:lineRule="auto"/>
        <w:rPr>
          <w:rFonts w:ascii="Times New Roman" w:hAnsi="Times New Roman" w:cs="Times New Roman"/>
          <w:vertAlign w:val="superscript"/>
          <w:lang w:eastAsia="zh-CN"/>
        </w:rPr>
      </w:pPr>
      <w:r>
        <w:rPr>
          <w:rFonts w:ascii="Times New Roman" w:eastAsia="SimSun" w:hAnsi="Times New Roman" w:cs="Times New Roman" w:hint="eastAsia"/>
          <w:lang w:eastAsia="zh-CN"/>
        </w:rPr>
        <w:t>Rui Zhang</w:t>
      </w:r>
      <w:r>
        <w:rPr>
          <w:rFonts w:ascii="Times New Roman" w:hAnsi="Times New Roman" w:cs="Times New Roman"/>
        </w:rPr>
        <w:t xml:space="preserve"> </w:t>
      </w:r>
      <w:r>
        <w:rPr>
          <w:rFonts w:ascii="Times New Roman" w:hAnsi="Times New Roman" w:cs="Times New Roman" w:hint="eastAsia"/>
          <w:vertAlign w:val="superscript"/>
          <w:lang w:eastAsia="zh-CN"/>
        </w:rPr>
        <w:t>1</w:t>
      </w:r>
      <w:r>
        <w:rPr>
          <w:rFonts w:ascii="Times New Roman" w:hAnsi="Times New Roman" w:cs="Times New Roman" w:hint="eastAsia"/>
          <w:vertAlign w:val="superscript"/>
          <w:lang w:eastAsia="zh-CN"/>
        </w:rPr>
        <w:t>*</w:t>
      </w:r>
    </w:p>
    <w:p w:rsidR="00D258EA" w:rsidRDefault="009B3883">
      <w:pPr>
        <w:pStyle w:val="pre-body"/>
        <w:spacing w:line="240" w:lineRule="auto"/>
        <w:rPr>
          <w:rFonts w:ascii="Times New Roman" w:hAnsi="Times New Roman" w:cs="Times New Roman"/>
          <w:b w:val="0"/>
          <w:lang w:eastAsia="zh-CN"/>
        </w:rPr>
      </w:pPr>
      <w:r>
        <w:rPr>
          <w:rFonts w:ascii="Times New Roman" w:hAnsi="Times New Roman" w:cs="Times New Roman"/>
          <w:b w:val="0"/>
          <w:vertAlign w:val="superscript"/>
        </w:rPr>
        <w:t>1</w:t>
      </w:r>
      <w:r>
        <w:rPr>
          <w:rFonts w:ascii="Times New Roman" w:hAnsi="Times New Roman" w:cs="Times New Roman"/>
          <w:b w:val="0"/>
        </w:rPr>
        <w:t xml:space="preserve"> Department of Cultural Communication, Yeungnam University, Gyeongsan, Gyeongbuk 38541, Republic of Korea</w:t>
      </w:r>
    </w:p>
    <w:p w:rsidR="00D258EA" w:rsidRDefault="009B3883">
      <w:pPr>
        <w:pStyle w:val="pre-body"/>
        <w:spacing w:line="240" w:lineRule="auto"/>
        <w:rPr>
          <w:rFonts w:ascii="Times New Roman" w:hAnsi="Times New Roman" w:cs="Times New Roman"/>
          <w:b w:val="0"/>
        </w:rPr>
      </w:pPr>
      <w:r>
        <w:rPr>
          <w:rFonts w:ascii="Times New Roman" w:hAnsi="Times New Roman" w:cs="Times New Roman"/>
          <w:b w:val="0"/>
          <w:vertAlign w:val="superscript"/>
        </w:rPr>
        <w:t>*</w:t>
      </w:r>
      <w:r>
        <w:rPr>
          <w:rFonts w:ascii="Times New Roman" w:hAnsi="Times New Roman" w:cs="Times New Roman"/>
          <w:b w:val="0"/>
        </w:rPr>
        <w:t xml:space="preserve"> Corresponding author </w:t>
      </w:r>
    </w:p>
    <w:p w:rsidR="00D258EA" w:rsidRDefault="009B3883">
      <w:pPr>
        <w:spacing w:line="240" w:lineRule="auto"/>
        <w:rPr>
          <w:rStyle w:val="Hyperlink"/>
          <w:rFonts w:ascii="Times New Roman" w:hAnsi="Times New Roman" w:cs="Times New Roman"/>
          <w:sz w:val="20"/>
          <w:szCs w:val="20"/>
        </w:rPr>
      </w:pPr>
      <w:r>
        <w:rPr>
          <w:rFonts w:ascii="Times New Roman" w:hAnsi="Times New Roman" w:cs="Times New Roman"/>
          <w:sz w:val="20"/>
          <w:szCs w:val="20"/>
        </w:rPr>
        <w:t>E-mail:</w:t>
      </w:r>
      <w:r>
        <w:rPr>
          <w:rFonts w:ascii="Times New Roman" w:hAnsi="Times New Roman" w:cs="Times New Roman"/>
          <w:sz w:val="20"/>
          <w:szCs w:val="20"/>
        </w:rPr>
        <w:t xml:space="preserve"> </w:t>
      </w:r>
      <w:r>
        <w:rPr>
          <w:rFonts w:ascii="Times New Roman" w:hAnsi="Times New Roman" w:cs="Times New Roman" w:hint="eastAsia"/>
          <w:sz w:val="20"/>
          <w:szCs w:val="20"/>
          <w:lang w:eastAsia="zh-CN"/>
        </w:rPr>
        <w:t>zhangrui9817@163.com</w:t>
      </w:r>
    </w:p>
    <w:p w:rsidR="00D258EA" w:rsidRDefault="009B3883">
      <w:pPr>
        <w:spacing w:after="0" w:line="480" w:lineRule="auto"/>
        <w:contextualSpacing/>
        <w:jc w:val="both"/>
        <w:rPr>
          <w:rFonts w:ascii="Times New Roman" w:hAnsi="Times New Roman" w:cs="Times New Roman"/>
          <w:b/>
          <w:bCs/>
          <w:kern w:val="2"/>
          <w:sz w:val="20"/>
          <w:szCs w:val="20"/>
          <w:lang w:eastAsia="zh-CN"/>
          <w14:ligatures w14:val="standardContextual"/>
        </w:rPr>
      </w:pPr>
      <w:r>
        <w:rPr>
          <w:rFonts w:ascii="Times New Roman" w:hAnsi="Times New Roman" w:cs="Times New Roman"/>
          <w:b/>
          <w:bCs/>
          <w:kern w:val="2"/>
          <w:sz w:val="20"/>
          <w:szCs w:val="20"/>
          <w:lang w:eastAsia="zh-CN"/>
          <w14:ligatures w14:val="standardContextual"/>
        </w:rPr>
        <w:t xml:space="preserve">Abstract </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eastAsiaTheme="minorEastAsia"/>
          <w:color w:val="auto"/>
          <w:kern w:val="2"/>
          <w:lang w:val="en-CA" w:eastAsia="zh-CN"/>
          <w14:ligatures w14:val="standardContextual"/>
        </w:rPr>
      </w:pPr>
      <w:r>
        <w:rPr>
          <w:rFonts w:ascii="Times New Roman" w:eastAsiaTheme="minorEastAsia"/>
          <w:color w:val="auto"/>
          <w:kern w:val="2"/>
          <w:lang w:val="en-CA" w:eastAsia="en-US"/>
          <w14:ligatures w14:val="standardContextual"/>
        </w:rPr>
        <w:t xml:space="preserve">This paper explores the emerging model of government short video dissemination within the context of evolving digital governance and participatory communication. Drawing upon media convergence theory and digital </w:t>
      </w:r>
      <w:r>
        <w:rPr>
          <w:rFonts w:ascii="Times New Roman" w:eastAsiaTheme="minorEastAsia"/>
          <w:color w:val="auto"/>
          <w:kern w:val="2"/>
          <w:lang w:val="en-CA" w:eastAsia="en-US"/>
          <w14:ligatures w14:val="standardContextual"/>
        </w:rPr>
        <w:t xml:space="preserve">interaction frameworks, this study examines how platforms such as TikTok and WeChat Video Channel reshape traditional government communication into interactive, algorithm-driven, and emotionally resonant forms. Through case studies and comparative content </w:t>
      </w:r>
      <w:r>
        <w:rPr>
          <w:rFonts w:ascii="Times New Roman" w:eastAsiaTheme="minorEastAsia"/>
          <w:color w:val="auto"/>
          <w:kern w:val="2"/>
          <w:lang w:val="en-CA" w:eastAsia="en-US"/>
          <w14:ligatures w14:val="standardContextual"/>
        </w:rPr>
        <w:t>analysis, we identify four key mechanisms: narrative localization, algorithmic amplification, emotional engagement, and participatory feedback loops. We argue that the short video model not only enhances policy dissemination but also reconstructs the gover</w:t>
      </w:r>
      <w:r>
        <w:rPr>
          <w:rFonts w:ascii="Times New Roman" w:eastAsiaTheme="minorEastAsia"/>
          <w:color w:val="auto"/>
          <w:kern w:val="2"/>
          <w:lang w:val="en-CA" w:eastAsia="en-US"/>
          <w14:ligatures w14:val="standardContextual"/>
        </w:rPr>
        <w:t>nment-citizen interface. The study provides theoretical and practical implications for reimagining digital governance strategies in the social media environment.</w:t>
      </w:r>
    </w:p>
    <w:p w:rsidR="00D258EA" w:rsidRDefault="009B3883">
      <w:pPr>
        <w:rPr>
          <w:rFonts w:ascii="Times New Roman" w:eastAsia="BatangChe" w:hAnsi="Times New Roman" w:cs="Times New Roman"/>
          <w:b/>
          <w:bCs/>
          <w:color w:val="000000"/>
          <w:sz w:val="20"/>
          <w:szCs w:val="20"/>
          <w:lang w:val="en-CA" w:eastAsia="ko-KR"/>
        </w:rPr>
      </w:pPr>
      <w:r>
        <w:rPr>
          <w:rFonts w:ascii="Times New Roman" w:hAnsi="Times New Roman" w:cs="Times New Roman"/>
          <w:b/>
          <w:bCs/>
        </w:rPr>
        <w:t>K</w:t>
      </w:r>
      <w:r>
        <w:rPr>
          <w:rFonts w:ascii="Times New Roman" w:eastAsia="BatangChe" w:hAnsi="Times New Roman" w:cs="Times New Roman"/>
          <w:b/>
          <w:bCs/>
          <w:color w:val="000000"/>
          <w:sz w:val="20"/>
          <w:szCs w:val="20"/>
          <w:lang w:val="en-CA" w:eastAsia="ko-KR"/>
        </w:rPr>
        <w:t>eywords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eastAsiaTheme="minorEastAsia"/>
          <w:color w:val="auto"/>
          <w:kern w:val="2"/>
          <w:lang w:val="en-CA" w:eastAsia="zh-CN"/>
          <w14:ligatures w14:val="standardContextual"/>
        </w:rPr>
      </w:pPr>
      <w:r>
        <w:rPr>
          <w:rFonts w:ascii="Times New Roman" w:eastAsiaTheme="minorEastAsia"/>
          <w:color w:val="auto"/>
          <w:kern w:val="2"/>
          <w:lang w:val="en-CA" w:eastAsia="zh-CN"/>
          <w14:ligatures w14:val="standardContextual"/>
        </w:rPr>
        <w:t xml:space="preserve"> social media; government affairs; short video; communication mode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rPr>
      </w:pPr>
      <w:r>
        <w:rPr>
          <w:rFonts w:ascii="Times New Roman"/>
          <w:b/>
          <w:bCs/>
          <w:lang w:val="en-GB"/>
        </w:rPr>
        <w:t>1. Introduction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t xml:space="preserve">The rise of social media and digital platforms has revolutionized the dynamics of communication between governments and the public. In an era characterized by immediacy, brevity, and visual storytelling, short video content disseminated via platforms such </w:t>
      </w:r>
      <w:r>
        <w:rPr>
          <w:rFonts w:ascii="Times New Roman"/>
          <w:lang w:val="en-GB" w:eastAsia="en-US"/>
        </w:rPr>
        <w:t>as TikTok, WeChat Video Channel, and Bilibili has emerged as a crucial instrument for digital governance. These platforms facilitate not only the distribution of policy-related information but also provide interactive spaces where citizens can engage, reac</w:t>
      </w:r>
      <w:r>
        <w:rPr>
          <w:rFonts w:ascii="Times New Roman"/>
          <w:lang w:val="en-GB" w:eastAsia="en-US"/>
        </w:rPr>
        <w:t>t, and co-create narratives with governmental institutions. This transformation marks a significant shift from the unidirectional communication model of traditional media to a more decentralized and participatory framework of governance communication. Gove</w:t>
      </w:r>
      <w:r>
        <w:rPr>
          <w:rFonts w:ascii="Times New Roman"/>
          <w:lang w:val="en-GB" w:eastAsia="en-US"/>
        </w:rPr>
        <w:t xml:space="preserve">rnment short videos represent a convergence of audiovisual innovation, algorithmic dissemination, and user-centered engagement. They address the need </w:t>
      </w:r>
      <w:r>
        <w:rPr>
          <w:rFonts w:ascii="Times New Roman"/>
          <w:lang w:val="en-GB" w:eastAsia="en-US"/>
        </w:rPr>
        <w:lastRenderedPageBreak/>
        <w:t>for accessibility, emotional connection, and narrative clarity in government communication. However, the r</w:t>
      </w:r>
      <w:r>
        <w:rPr>
          <w:rFonts w:ascii="Times New Roman"/>
          <w:lang w:val="en-GB" w:eastAsia="en-US"/>
        </w:rPr>
        <w:t>apid growth of this medium has brought about several challenges, including content homogenization, limited responsiveness to user feedback, and inadequate integration across platforms. Understanding and optimizing these practices is vital to enhancing tran</w:t>
      </w:r>
      <w:r>
        <w:rPr>
          <w:rFonts w:ascii="Times New Roman"/>
          <w:lang w:val="en-GB" w:eastAsia="en-US"/>
        </w:rPr>
        <w:t>sparency, trust, and democratic engagement in the digital era. This study aims to systematically analyze the dissemination model of government short videos on social media by integrating theoretical insights with empirical observations. Drawing on media co</w:t>
      </w:r>
      <w:r>
        <w:rPr>
          <w:rFonts w:ascii="Times New Roman"/>
          <w:lang w:val="en-GB" w:eastAsia="en-US"/>
        </w:rPr>
        <w:t>nvergence theory and digital governance frameworks, the paper investigates the narrative strategies, platform-specific adaptations, and interactive mechanisms employed in government short video practices. Through a qualitative case study approach, we explo</w:t>
      </w:r>
      <w:r>
        <w:rPr>
          <w:rFonts w:ascii="Times New Roman"/>
          <w:lang w:val="en-GB" w:eastAsia="en-US"/>
        </w:rPr>
        <w:t>re how these videos influence public perception, facilitate policy understanding, and support participatory governance. Ultimately, this research seeks to offer actionable insights for improving the effectiveness and inclusivity of digital government commu</w:t>
      </w:r>
      <w:r>
        <w:rPr>
          <w:rFonts w:ascii="Times New Roman"/>
          <w:lang w:val="en-GB" w:eastAsia="en-US"/>
        </w:rPr>
        <w:t>nication.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rPr>
      </w:pPr>
      <w:r>
        <w:rPr>
          <w:rFonts w:ascii="Times New Roman"/>
          <w:b/>
          <w:bCs/>
          <w:lang w:val="en-GB"/>
        </w:rPr>
        <w:t>2. Literature Review</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b/>
          <w:bCs/>
          <w:lang w:eastAsia="zh-CN"/>
        </w:rPr>
        <w:t>2.1</w:t>
      </w:r>
      <w:r>
        <w:rPr>
          <w:rFonts w:ascii="Times New Roman"/>
          <w:b/>
          <w:bCs/>
          <w:lang w:val="en-GB" w:eastAsia="en-US"/>
        </w:rPr>
        <w:t xml:space="preserve"> Social Media and Government Communication Evolution</w:t>
      </w:r>
      <w:r>
        <w:rPr>
          <w:rFonts w:ascii="Times New Roman"/>
          <w:szCs w:val="22"/>
          <w:lang w:eastAsia="en-US"/>
        </w:rPr>
        <w:br/>
      </w:r>
      <w:r>
        <w:rPr>
          <w:rFonts w:ascii="Times New Roman"/>
          <w:lang w:val="en-GB" w:eastAsia="en-US"/>
        </w:rPr>
        <w:t>The intersection of social media and government communication has been widely studied as digital platforms transform public administration. Scholars like Mergel (2013) a</w:t>
      </w:r>
      <w:r>
        <w:rPr>
          <w:rFonts w:ascii="Times New Roman"/>
          <w:lang w:val="en-GB" w:eastAsia="en-US"/>
        </w:rPr>
        <w:t>nd Criado and Rojas-Martín (2013) note that governments are shifting from monologic, hierarchical communication models to more dialogic, participatory approaches. These new channels enhance real-time engagement, transparency, and public trust (Bertot et al</w:t>
      </w:r>
      <w:r>
        <w:rPr>
          <w:rFonts w:ascii="Times New Roman"/>
          <w:lang w:val="en-GB" w:eastAsia="en-US"/>
        </w:rPr>
        <w:t>., 2012). Fung (2015) argues that digital tools can reinvigorate deliberative democracy by enabling public feedback loops and participatory governance. Medaglia and Zheng (2017) mapped the global landscape of e-government practices, identifying social medi</w:t>
      </w:r>
      <w:r>
        <w:rPr>
          <w:rFonts w:ascii="Times New Roman"/>
          <w:lang w:val="en-GB" w:eastAsia="en-US"/>
        </w:rPr>
        <w:t>a as a central element in new public service paradigms. Papacharissi (2015) introduced the idea of “affective publics,” where social media platforms amplify emotional expression in civic participation, reinforcing the relational dynamics between institutio</w:t>
      </w:r>
      <w:r>
        <w:rPr>
          <w:rFonts w:ascii="Times New Roman"/>
          <w:lang w:val="en-GB" w:eastAsia="en-US"/>
        </w:rPr>
        <w:t>ns and citizens. In the Chinese context, Wu and Ma (2019) found that short videos foster more accessible and visually appealing representations of government services, helping to demystify bureaucratic systems.</w:t>
      </w:r>
    </w:p>
    <w:p w:rsidR="00D258EA" w:rsidRDefault="009B3883">
      <w:pPr>
        <w:rPr>
          <w:rFonts w:ascii="Times New Roman" w:eastAsia="BatangChe" w:hAnsi="Times New Roman" w:cs="Times New Roman"/>
          <w:color w:val="000000"/>
          <w:sz w:val="20"/>
          <w:szCs w:val="20"/>
          <w:lang w:val="en-GB"/>
        </w:rPr>
      </w:pPr>
      <w:r>
        <w:rPr>
          <w:rFonts w:ascii="Times New Roman" w:eastAsia="SimSun" w:hAnsi="Times New Roman" w:cs="Times New Roman"/>
          <w:b/>
          <w:bCs/>
          <w:color w:val="000000"/>
          <w:sz w:val="20"/>
          <w:szCs w:val="20"/>
          <w:lang w:eastAsia="zh-CN"/>
        </w:rPr>
        <w:t xml:space="preserve">2.2 </w:t>
      </w:r>
      <w:r>
        <w:rPr>
          <w:rFonts w:ascii="Times New Roman" w:eastAsia="BatangChe" w:hAnsi="Times New Roman" w:cs="Times New Roman"/>
          <w:b/>
          <w:bCs/>
          <w:color w:val="000000"/>
          <w:sz w:val="20"/>
          <w:szCs w:val="20"/>
          <w:lang w:val="en-GB"/>
        </w:rPr>
        <w:t>Short Video as an Emerging Civic Medium</w:t>
      </w:r>
      <w:r>
        <w:rPr>
          <w:rFonts w:ascii="Times New Roman" w:hAnsi="Times New Roman" w:cs="Times New Roman"/>
        </w:rPr>
        <w:br/>
      </w:r>
      <w:r>
        <w:rPr>
          <w:rFonts w:ascii="Times New Roman" w:eastAsia="BatangChe" w:hAnsi="Times New Roman" w:cs="Times New Roman"/>
          <w:color w:val="000000"/>
          <w:sz w:val="20"/>
          <w:szCs w:val="20"/>
          <w:lang w:val="en-GB"/>
        </w:rPr>
        <w:t>A</w:t>
      </w:r>
      <w:r>
        <w:rPr>
          <w:rFonts w:ascii="Times New Roman" w:eastAsia="BatangChe" w:hAnsi="Times New Roman" w:cs="Times New Roman"/>
          <w:color w:val="000000"/>
          <w:sz w:val="20"/>
          <w:szCs w:val="20"/>
          <w:lang w:val="en-GB"/>
        </w:rPr>
        <w:t xml:space="preserve">s a convergence of entertainment and public service messaging, short video has emerged as a key format for contemporary government communication. Highfield and Leaver (2016) emphasized that short-form </w:t>
      </w:r>
      <w:r>
        <w:rPr>
          <w:rFonts w:ascii="Times New Roman" w:eastAsia="BatangChe" w:hAnsi="Times New Roman" w:cs="Times New Roman"/>
          <w:color w:val="000000"/>
          <w:sz w:val="20"/>
          <w:szCs w:val="20"/>
          <w:lang w:val="en-GB"/>
        </w:rPr>
        <w:lastRenderedPageBreak/>
        <w:t>visual content promotes engagement by drawing on meme l</w:t>
      </w:r>
      <w:r>
        <w:rPr>
          <w:rFonts w:ascii="Times New Roman" w:eastAsia="BatangChe" w:hAnsi="Times New Roman" w:cs="Times New Roman"/>
          <w:color w:val="000000"/>
          <w:sz w:val="20"/>
          <w:szCs w:val="20"/>
          <w:lang w:val="en-GB"/>
        </w:rPr>
        <w:t>ogic, emotional immediacy, and audiovisual brevity. In their study of Chinese government TikTok accounts, Chen and Zhang (2020) found that narrative localization, humor, and emotional storytelling are critical to message receptivity. Xie and Tsang (2021) f</w:t>
      </w:r>
      <w:r>
        <w:rPr>
          <w:rFonts w:ascii="Times New Roman" w:eastAsia="BatangChe" w:hAnsi="Times New Roman" w:cs="Times New Roman"/>
          <w:color w:val="000000"/>
          <w:sz w:val="20"/>
          <w:szCs w:val="20"/>
          <w:lang w:val="en-GB"/>
        </w:rPr>
        <w:t>urther argue that visualization, scene-based storytelling, and dramatization can significantly improve comprehension of complex policy issues. Gillespie (2018) framed platforms as curators of public attention, where algorithmic curation determines visibili</w:t>
      </w:r>
      <w:r>
        <w:rPr>
          <w:rFonts w:ascii="Times New Roman" w:eastAsia="BatangChe" w:hAnsi="Times New Roman" w:cs="Times New Roman"/>
          <w:color w:val="000000"/>
          <w:sz w:val="20"/>
          <w:szCs w:val="20"/>
          <w:lang w:val="en-GB"/>
        </w:rPr>
        <w:t xml:space="preserve">ty and shapes discourse. Zeng and Liu (2020) discussed “algorithmic governmentality,” noting that digital platforms structure the way government messages are targeted, promoted, and consumed. Harju and Huhtamäki (2022) point out that short videos not only </w:t>
      </w:r>
      <w:r>
        <w:rPr>
          <w:rFonts w:ascii="Times New Roman" w:eastAsia="BatangChe" w:hAnsi="Times New Roman" w:cs="Times New Roman"/>
          <w:color w:val="000000"/>
          <w:sz w:val="20"/>
          <w:szCs w:val="20"/>
          <w:lang w:val="en-GB"/>
        </w:rPr>
        <w:t>deliver content but also activate civic identities and emotional solidarity. Yet, the design of engagement—likes, shares, comments—is often influenced by commercial metrics rather than democratic values.</w:t>
      </w:r>
    </w:p>
    <w:p w:rsidR="00D258EA" w:rsidRDefault="009B3883">
      <w:pPr>
        <w:rPr>
          <w:rFonts w:ascii="Times New Roman" w:eastAsia="BatangChe" w:hAnsi="Times New Roman" w:cs="Times New Roman"/>
          <w:b/>
          <w:bCs/>
          <w:color w:val="000000"/>
          <w:sz w:val="20"/>
          <w:szCs w:val="20"/>
          <w:lang w:val="en-GB"/>
        </w:rPr>
      </w:pPr>
      <w:r>
        <w:rPr>
          <w:rFonts w:ascii="Times New Roman" w:eastAsia="BatangChe" w:hAnsi="Times New Roman" w:cs="Times New Roman"/>
          <w:b/>
          <w:bCs/>
          <w:color w:val="000000"/>
          <w:sz w:val="20"/>
          <w:szCs w:val="20"/>
          <w:lang w:eastAsia="zh-CN"/>
        </w:rPr>
        <w:t>2.3</w:t>
      </w:r>
      <w:r>
        <w:rPr>
          <w:rFonts w:ascii="Times New Roman" w:eastAsia="BatangChe" w:hAnsi="Times New Roman" w:cs="Times New Roman"/>
          <w:b/>
          <w:bCs/>
          <w:color w:val="000000"/>
          <w:sz w:val="20"/>
          <w:szCs w:val="20"/>
          <w:lang w:val="en-GB"/>
        </w:rPr>
        <w:t xml:space="preserve"> Critical Reflections on Platform Governance and Narrative Strategy</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br/>
        <w:t xml:space="preserve">Despite optimism about digital communication, several scholars warn of pitfalls in platform-mediated governance. Chadwick (2017) and van Dijck et al. (2018) critique how governments risk </w:t>
      </w:r>
      <w:r>
        <w:rPr>
          <w:rFonts w:ascii="Times New Roman"/>
          <w:lang w:val="en-GB" w:eastAsia="en-US"/>
        </w:rPr>
        <w:t>adopting performative transparency, where the appearance of openness masks a lack of real accountability. Tufekci (2015) highlights the danger of algorithmic bias, as platforms can entrench polarization and marginalize dissenting voices. Studies from the G</w:t>
      </w:r>
      <w:r>
        <w:rPr>
          <w:rFonts w:ascii="Times New Roman"/>
          <w:lang w:val="en-GB" w:eastAsia="en-US"/>
        </w:rPr>
        <w:t>lobal South, such as Oduro-Frimpong (2020), emphasize the importance of localized content practices and warn against cultural homogenization in state messaging. Kaye et al. (2021) note that algorithmic logics often prioritize sensationalism over substance,</w:t>
      </w:r>
      <w:r>
        <w:rPr>
          <w:rFonts w:ascii="Times New Roman"/>
          <w:lang w:val="en-GB" w:eastAsia="en-US"/>
        </w:rPr>
        <w:t xml:space="preserve"> potentially undermining deliberative dialogue. To counter these risks, scholars have advocated for integrating theories of digital affordances (Nagy &amp; Neff, 2015), convergence culture (Jenkins, 2006), and hybrid media systems (Chadwick, 2017) to develop a</w:t>
      </w:r>
      <w:r>
        <w:rPr>
          <w:rFonts w:ascii="Times New Roman"/>
          <w:lang w:val="en-GB" w:eastAsia="en-US"/>
        </w:rPr>
        <w:t xml:space="preserve"> critical yet constructive framework for analyzing short video-based governance. Such an approach acknowledges the technological, emotional, and institutional layers of this evolving medium and informs the current study’s analytic lens.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rPr>
      </w:pPr>
      <w:r>
        <w:rPr>
          <w:rFonts w:ascii="Times New Roman"/>
          <w:b/>
          <w:bCs/>
          <w:lang w:val="en-GB"/>
        </w:rPr>
        <w:t>3. Theoretical Fram</w:t>
      </w:r>
      <w:r>
        <w:rPr>
          <w:rFonts w:ascii="Times New Roman"/>
          <w:b/>
          <w:bCs/>
          <w:lang w:val="en-GB"/>
        </w:rPr>
        <w:t>ework</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t xml:space="preserve">To critically examine the dissemination model of government short videos on social media platforms, this study integrates three complementary theoretical perspectives: media convergence theory, participatory governance theory, and digital affordance </w:t>
      </w:r>
      <w:r>
        <w:rPr>
          <w:rFonts w:ascii="Times New Roman"/>
          <w:lang w:val="en-GB" w:eastAsia="en-US"/>
        </w:rPr>
        <w:t>theory. Together, these frameworks provide a multidimensional lens for analyzing the hybrid nature of digital government communication, which operates at the intersection of technology, institutional intent, and citizen engagement.</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3.1 Media Convergence Th</w:t>
      </w:r>
      <w:r>
        <w:rPr>
          <w:rFonts w:ascii="Times New Roman"/>
          <w:b/>
          <w:bCs/>
          <w:lang w:val="en-GB" w:eastAsia="en-US"/>
        </w:rPr>
        <w:t>eory</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lastRenderedPageBreak/>
        <w:t xml:space="preserve">Originating from Jenkins (2006), media convergence theory explains the blending of old and new media forms, institutions, and user practices. In the context of government short videos, convergence is evident in the way traditional public information </w:t>
      </w:r>
      <w:r>
        <w:rPr>
          <w:rFonts w:ascii="Times New Roman"/>
          <w:lang w:val="en-GB" w:eastAsia="en-US"/>
        </w:rPr>
        <w:t>functions (e.g., policy announcement, service delivery, crisis communication) are restructured to fit the fragmented, interactive, and algorithm-driven logic of platforms like TikTok and WeChat Video Channel. This convergence does not merely involve the re</w:t>
      </w:r>
      <w:r>
        <w:rPr>
          <w:rFonts w:ascii="Times New Roman"/>
          <w:lang w:val="en-GB" w:eastAsia="en-US"/>
        </w:rPr>
        <w:t>use of content across formats but reflects a deeper restructuring of communication norms and narrative strategies (Chadwick, 2017). Government short videos often combine institutional authority with culturally resonant tropes—memes, music, influencers—to i</w:t>
      </w:r>
      <w:r>
        <w:rPr>
          <w:rFonts w:ascii="Times New Roman"/>
          <w:lang w:val="en-GB" w:eastAsia="en-US"/>
        </w:rPr>
        <w:t>ncrease relatability and virality. These convergent practices enable governments to reach diverse audiences while navigating platform-specific constraints, such as time limits and algorithmic ranking systems.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3.2 Participatory Governance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t>The second theoret</w:t>
      </w:r>
      <w:r>
        <w:rPr>
          <w:rFonts w:ascii="Times New Roman"/>
          <w:lang w:val="en-GB" w:eastAsia="en-US"/>
        </w:rPr>
        <w:t>ical strand draws from participatory governance theory, which emphasizes inclusive, dialogic, and co-productive interactions between citizens and the state (Fung, 2015). In a digital environment, participation extends beyond physical deliberation to includ</w:t>
      </w:r>
      <w:r>
        <w:rPr>
          <w:rFonts w:ascii="Times New Roman"/>
          <w:lang w:val="en-GB" w:eastAsia="en-US"/>
        </w:rPr>
        <w:t>e symbolic, emotional, and expressive forms of engagement (Papacharissi, 2015). Government short videos represent an evolution in participatory governance—they not only inform but also solicit reactions, user-generated content, and real-time feedback throu</w:t>
      </w:r>
      <w:r>
        <w:rPr>
          <w:rFonts w:ascii="Times New Roman"/>
          <w:lang w:val="en-GB" w:eastAsia="en-US"/>
        </w:rPr>
        <w:t xml:space="preserve">gh comments, shares, and duets. Such affordances create the conditions for a “networked public sphere,” wherein civic sentiments and interpretations circulate alongside official narratives. However, this participation is shaped by platform design and user </w:t>
      </w:r>
      <w:r>
        <w:rPr>
          <w:rFonts w:ascii="Times New Roman"/>
          <w:lang w:val="en-GB" w:eastAsia="en-US"/>
        </w:rPr>
        <w:t>demographics, making it crucial to evaluate whether these engagements truly reflect deliberative inclusion or are performative in nature. Thus, this framework helps assess both the depth and equity of digital participation in the governance process.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3.3 Di</w:t>
      </w:r>
      <w:r>
        <w:rPr>
          <w:rFonts w:ascii="Times New Roman"/>
          <w:b/>
          <w:bCs/>
          <w:lang w:val="en-GB" w:eastAsia="en-US"/>
        </w:rPr>
        <w:t>gital Affordance Theory</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t>To bridge the gap between institutional intention and user behavior, this study incorporates the concept of digital affordances—the perceived and actual action possibilities enabled by digital environments (Nagy &amp; Neff, 2015). Affor</w:t>
      </w:r>
      <w:r>
        <w:rPr>
          <w:rFonts w:ascii="Times New Roman"/>
          <w:lang w:val="en-GB" w:eastAsia="en-US"/>
        </w:rPr>
        <w:t>dances in the short video ecosystem include features such as algorithmic curation, low-cost video creation tools, interactive buttons (likes, comments, shares), and real-time trend tracking. These technological features not only shape how government conten</w:t>
      </w:r>
      <w:r>
        <w:rPr>
          <w:rFonts w:ascii="Times New Roman"/>
          <w:lang w:val="en-GB" w:eastAsia="en-US"/>
        </w:rPr>
        <w:t xml:space="preserve">t is produced and circulated but also </w:t>
      </w:r>
      <w:r>
        <w:rPr>
          <w:rFonts w:ascii="Times New Roman"/>
          <w:lang w:val="en-GB" w:eastAsia="en-US"/>
        </w:rPr>
        <w:lastRenderedPageBreak/>
        <w:t>influence user interaction patterns and emotional resonance. For example, algorithmic recommendation engines can amplify popular content, creating a feedback loop that enhances visibility while potentially sidelining d</w:t>
      </w:r>
      <w:r>
        <w:rPr>
          <w:rFonts w:ascii="Times New Roman"/>
          <w:lang w:val="en-GB" w:eastAsia="en-US"/>
        </w:rPr>
        <w:t>issenting voices or complex messages (Gillespie, 2018; Zeng &amp; Liu, 2020). The affordance perspective allows us to analyze how digital infrastructure mediates power dynamics, accessibility, and communicative efficacy within the government-public interface.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3.4 Integrated Analytical Model</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t>By synthesizing these three theoretical lenses, this study proposes an Integrated Convergence-Participation-Affordance (CPA) Framework (see Figure 1). This model conceptualizes government short video dissemination as a hybri</w:t>
      </w:r>
      <w:r>
        <w:rPr>
          <w:rFonts w:ascii="Times New Roman"/>
          <w:lang w:val="en-GB" w:eastAsia="en-US"/>
        </w:rPr>
        <w:t>d process where: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eastAsia="zh-CN"/>
        </w:rPr>
        <w:t>1.</w:t>
      </w:r>
      <w:r>
        <w:rPr>
          <w:rFonts w:ascii="Times New Roman"/>
          <w:lang w:val="en-GB" w:eastAsia="en-US"/>
        </w:rPr>
        <w:t>Convergence informs how government adapts narrative form and institutional messaging;</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eastAsia="zh-CN"/>
        </w:rPr>
        <w:t>2.</w:t>
      </w:r>
      <w:r>
        <w:rPr>
          <w:rFonts w:ascii="Times New Roman"/>
          <w:lang w:val="en-GB" w:eastAsia="en-US"/>
        </w:rPr>
        <w:t>Participation captures how users engage, reshape, or contest meaning;</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eastAsia="zh-CN"/>
        </w:rPr>
        <w:t>3.</w:t>
      </w:r>
      <w:r>
        <w:rPr>
          <w:rFonts w:ascii="Times New Roman"/>
          <w:lang w:val="en-GB" w:eastAsia="en-US"/>
        </w:rPr>
        <w:t xml:space="preserve">Affordances explain how platform structures facilitate or constrain </w:t>
      </w:r>
      <w:r>
        <w:rPr>
          <w:rFonts w:ascii="Times New Roman"/>
          <w:lang w:val="en-GB" w:eastAsia="en-US"/>
        </w:rPr>
        <w:t>communicative exchange.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t>This framework provides a comprehensive basis for analyzing empirical cases, enabling a deeper understanding of how government short videos function as tools of digital governance, public engagement, and policy legitimation in a hig</w:t>
      </w:r>
      <w:r>
        <w:rPr>
          <w:rFonts w:ascii="Times New Roman"/>
          <w:lang w:val="en-GB" w:eastAsia="en-US"/>
        </w:rPr>
        <w:t>hly mediatized society.</w:t>
      </w:r>
    </w:p>
    <w:p w:rsidR="00D258EA" w:rsidRDefault="009B3883">
      <w:pPr>
        <w:pStyle w:val="Heading1"/>
        <w:rPr>
          <w:rFonts w:ascii="Times New Roman" w:hAnsi="Times New Roman" w:cs="Times New Roman"/>
          <w:szCs w:val="22"/>
          <w:lang w:eastAsia="zh-CN"/>
        </w:rPr>
      </w:pPr>
      <w:r>
        <w:rPr>
          <w:rFonts w:ascii="Times New Roman" w:hAnsi="Times New Roman" w:cs="Times New Roman"/>
          <w:noProof/>
          <w:szCs w:val="22"/>
        </w:rPr>
        <w:lastRenderedPageBreak/>
        <w:drawing>
          <wp:inline distT="0" distB="0" distL="114300" distR="114300">
            <wp:extent cx="5266690" cy="3511550"/>
            <wp:effectExtent l="0" t="0" r="635" b="3175"/>
            <wp:docPr id="2" name="图片 2" descr="ChatGPT Image 2025年6月19日 19_1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hatGPT Image 2025年6月19日 19_10_05"/>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4. Methodology</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4.1 Research Design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t>This study employs a qualitative multi-case analysis to investigate the dissemination strategies and interactive mechanisms of government short videos across different social media platforms. Giv</w:t>
      </w:r>
      <w:r>
        <w:rPr>
          <w:rFonts w:ascii="Times New Roman"/>
          <w:lang w:val="en-GB" w:eastAsia="en-US"/>
        </w:rPr>
        <w:t>en the exploratory nature of the research and the interpretive richness required to understand narrative construction and user engagement, a qualitative approach is particularly suitable. The research design follows an embedded case study logic, focusing o</w:t>
      </w:r>
      <w:r>
        <w:rPr>
          <w:rFonts w:ascii="Times New Roman"/>
          <w:lang w:val="en-GB" w:eastAsia="en-US"/>
        </w:rPr>
        <w:t>n three representative government-affiliated accounts: CCTV News on TikTok (Douyin), People’s Daily on WeChat Video Channel, and the Communist Youth League on Bilibili. These accounts were selected via purposive sampling based on their institutional credib</w:t>
      </w:r>
      <w:r>
        <w:rPr>
          <w:rFonts w:ascii="Times New Roman"/>
          <w:lang w:val="en-GB" w:eastAsia="en-US"/>
        </w:rPr>
        <w:t>ility, consistent content output, and their alignment with the cultural logics of each platform—vertical short-form video, acquaintance-based interaction, and subcultural youth fandom, respectively.</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4.2 Data Collection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t>Data collection was conducted between</w:t>
      </w:r>
      <w:r>
        <w:rPr>
          <w:rFonts w:ascii="Times New Roman"/>
          <w:lang w:val="en-GB" w:eastAsia="en-US"/>
        </w:rPr>
        <w:t xml:space="preserve"> January and April 2024. A total of 90 short video posts (30 per platform) were selected using stratified sampling, ensuring diversity in content format (e.g., storytelling, policy animation, live broadcasts) and engagement performance. Each video was acco</w:t>
      </w:r>
      <w:r>
        <w:rPr>
          <w:rFonts w:ascii="Times New Roman"/>
          <w:lang w:val="en-GB" w:eastAsia="en-US"/>
        </w:rPr>
        <w:t xml:space="preserve">mpanied by metadata such as views, likes, shares, and comment counts. In addition, approximately 3,000 user comments were </w:t>
      </w:r>
      <w:r>
        <w:rPr>
          <w:rFonts w:ascii="Times New Roman"/>
          <w:lang w:val="en-GB" w:eastAsia="en-US"/>
        </w:rPr>
        <w:lastRenderedPageBreak/>
        <w:t xml:space="preserve">randomly sampled and anonymized to capture the sentiment and discursive practices of audience engagement. Publicly available platform </w:t>
      </w:r>
      <w:r>
        <w:rPr>
          <w:rFonts w:ascii="Times New Roman"/>
          <w:lang w:val="en-GB" w:eastAsia="en-US"/>
        </w:rPr>
        <w:t>policy documents and algorithmic feature descriptions were also reviewed, alongside three expert interviews with platform content moderators, conducted under conditions of anonymity. All data were collected in accordance with institutional ethical review p</w:t>
      </w:r>
      <w:r>
        <w:rPr>
          <w:rFonts w:ascii="Times New Roman"/>
          <w:lang w:val="en-GB" w:eastAsia="en-US"/>
        </w:rPr>
        <w:t>rocedures, with no personally identifiable information retained.</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4.3 Analytical Strategy</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t>The analytical process was conducted in two stages. First, thematic content analysis was performed using NVivo software, guided by the CPA (Convergence–Participation–A</w:t>
      </w:r>
      <w:r>
        <w:rPr>
          <w:rFonts w:ascii="Times New Roman"/>
          <w:lang w:val="en-GB" w:eastAsia="en-US"/>
        </w:rPr>
        <w:t>ffordance) framework developed in this study. Codes were applied to identify stylistic convergence strategies, participatory affordances, and platform-specific interaction cues. Inter-coder reliability was ensured through the double-coding of 20% of the sa</w:t>
      </w:r>
      <w:r>
        <w:rPr>
          <w:rFonts w:ascii="Times New Roman"/>
          <w:lang w:val="en-GB" w:eastAsia="en-US"/>
        </w:rPr>
        <w:t xml:space="preserve">mple (Cohen’s kappa = 0.81), indicating strong agreement. Second, user comment data were analyzed using a combination of sentiment analysis (via TextBlob and SnowNLP for Chinese language content) and engagement mapping, categorizing feedback into clusters </w:t>
      </w:r>
      <w:r>
        <w:rPr>
          <w:rFonts w:ascii="Times New Roman"/>
          <w:lang w:val="en-GB" w:eastAsia="en-US"/>
        </w:rPr>
        <w:t>such as supportive, oppositional, humorous, and neutral. This dual-level approach enabled a triangulated understanding of how institutional narrative intent, technological architecture, and user interaction co-construct the digital performance of governanc</w:t>
      </w:r>
      <w:r>
        <w:rPr>
          <w:rFonts w:ascii="Times New Roman"/>
          <w:lang w:val="en-GB" w:eastAsia="en-US"/>
        </w:rPr>
        <w:t>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4.4 Ethical Considerations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eastAsia="en-US"/>
        </w:rPr>
      </w:pPr>
      <w:r>
        <w:rPr>
          <w:rFonts w:ascii="Times New Roman"/>
          <w:lang w:val="en-GB" w:eastAsia="en-US"/>
        </w:rPr>
        <w:t>All research materials were publicly accessible, and no private user data were collected. Comment data were fully anonymized, and pseudonyms were used when direct quotations were included in the analysis. The study received in</w:t>
      </w:r>
      <w:r>
        <w:rPr>
          <w:rFonts w:ascii="Times New Roman"/>
          <w:lang w:val="en-GB" w:eastAsia="en-US"/>
        </w:rPr>
        <w:t>stitutional ethics clearance and adhered to international standards for digital communication research ethics (Townsend &amp; Wallace, 2016).</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5. Findings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 xml:space="preserve">This section presents the empirical findings of the multi-case analysis of government short videos across </w:t>
      </w:r>
      <w:r>
        <w:rPr>
          <w:rFonts w:ascii="Times New Roman"/>
          <w:lang w:val="en-GB"/>
        </w:rPr>
        <w:t>TikTok (Douyin), WeChat Video Channel, and Bilibili. By integrating the CPA theoretical framework with thematic content analysis and user engagement metrics, the results provide a comparative overview of how narrative convergence, participatory design, and</w:t>
      </w:r>
      <w:r>
        <w:rPr>
          <w:rFonts w:ascii="Times New Roman"/>
          <w:lang w:val="en-GB"/>
        </w:rPr>
        <w:t xml:space="preserve"> platform affordances shape the communication dynamics of digital governance. The analysis draws upon a dataset of 90 videos and 3,000 user comments, complemented by Figure 2 (User Engagement Type Distribution Across Platforms) and Table 1 (Platform Compar</w:t>
      </w:r>
      <w:r>
        <w:rPr>
          <w:rFonts w:ascii="Times New Roman"/>
          <w:lang w:val="en-GB"/>
        </w:rPr>
        <w:t>ison Table), which illustrate the structural and behavioral distinctions among platforms.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lastRenderedPageBreak/>
        <w:t>5.1 TikTok (Douyin): Emotional Convergence and Algorithmic Amplification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Among the three platforms, TikTok stands out for its high-volume, algorithm-driven environmen</w:t>
      </w:r>
      <w:r>
        <w:rPr>
          <w:rFonts w:ascii="Times New Roman"/>
          <w:lang w:val="en-GB"/>
        </w:rPr>
        <w:t>t that strongly favors emotional and visually arresting content. Government-affiliated accounts such as CCTV News effectively capitalize on TikTok’s architecture through convergent communication strategies—adopting meme culture, popular music, and cinemati</w:t>
      </w:r>
      <w:r>
        <w:rPr>
          <w:rFonts w:ascii="Times New Roman"/>
          <w:lang w:val="en-GB"/>
        </w:rPr>
        <w:t xml:space="preserve">c effects to repurpose formal policy into emotionally engaging narratives. Videos typically last under 60 seconds and often include on-screen text, ambient soundtracks, and rapid editing techniques that resonate with mobile-first users and short attention </w:t>
      </w:r>
      <w:r>
        <w:rPr>
          <w:rFonts w:ascii="Times New Roman"/>
          <w:lang w:val="en-GB"/>
        </w:rPr>
        <w:t>spans.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As shown in Figure 2, TikTok exhibits the highest proportion of supportive (≈35%) and humorous (≈25%) user comments, indicating that viewers respond positively to emotionally appealing content. The affordances of TikTok—particularly its duet, repost</w:t>
      </w:r>
      <w:r>
        <w:rPr>
          <w:rFonts w:ascii="Times New Roman"/>
          <w:lang w:val="en-GB"/>
        </w:rPr>
        <w:t>, and algorithmic trending functions—create fertile ground for participatory remixing and real-time interaction. Videos about national celebrations, emergency responses, or youth entrepreneurship tend to go viral, benefiting from the algorithm’s preference</w:t>
      </w:r>
      <w:r>
        <w:rPr>
          <w:rFonts w:ascii="Times New Roman"/>
          <w:lang w:val="en-GB"/>
        </w:rPr>
        <w:t xml:space="preserve"> for fast engagement. However, critical comments remain marginal (≈15%), potentially due to self-censorship or content moderation, reflecting what Zeng and Liu (2020) describe as “algorithmic governmentality.” Despite this, the participatory atmosphere, fo</w:t>
      </w:r>
      <w:r>
        <w:rPr>
          <w:rFonts w:ascii="Times New Roman"/>
          <w:lang w:val="en-GB"/>
        </w:rPr>
        <w:t>stered by TikTok’s design logic, offers the government an unprecedented opportunity to circulate emotionally charged governance narratives with high diffusion velocity.</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5.2 WeChat Video Channel: Community-Centric Narratives and Deliberative Interaction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Unl</w:t>
      </w:r>
      <w:r>
        <w:rPr>
          <w:rFonts w:ascii="Times New Roman"/>
          <w:lang w:val="en-GB"/>
        </w:rPr>
        <w:t>ike the fast-paced, visually saturated world of TikTok, WeChat Video Channel supports a more measured and community-oriented communication ecosystem. Government content on WeChat—such as from People’s Daily—tends to focus on livelihood services, health pol</w:t>
      </w:r>
      <w:r>
        <w:rPr>
          <w:rFonts w:ascii="Times New Roman"/>
          <w:lang w:val="en-GB"/>
        </w:rPr>
        <w:t>icy, regional governance, and practical guides. The narrative style often adopts documentary realism, with dialect narration, slow-paced transitions, and scenario-based problem solving. These videos are highly contextualized, drawing from the platform’s se</w:t>
      </w:r>
      <w:r>
        <w:rPr>
          <w:rFonts w:ascii="Times New Roman"/>
          <w:lang w:val="en-GB"/>
        </w:rPr>
        <w:t>mi-private, trust-based social architecture.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According to Table 1, the dominant audience on WeChat is composed of middle-aged and older adults, many of whom use the platform to access utility-based government content. This aligns with Figure 2, where neutr</w:t>
      </w:r>
      <w:r>
        <w:rPr>
          <w:rFonts w:ascii="Times New Roman"/>
          <w:lang w:val="en-GB"/>
        </w:rPr>
        <w:t xml:space="preserve">al and supportive comments each comprise approximately 30–35%, while humorous or critical feedback is minimal. Unlike TikTok or Bilibili, WeChat is not optimized for virality but for credibility and </w:t>
      </w:r>
      <w:r>
        <w:rPr>
          <w:rFonts w:ascii="Times New Roman"/>
          <w:lang w:val="en-GB"/>
        </w:rPr>
        <w:lastRenderedPageBreak/>
        <w:t>depth. User interaction frequently takes the form of sinc</w:t>
      </w:r>
      <w:r>
        <w:rPr>
          <w:rFonts w:ascii="Times New Roman"/>
          <w:lang w:val="en-GB"/>
        </w:rPr>
        <w:t>ere inquiries (e.g., “Where can I apply for this policy?”) or expressions of civic gratitude (e.g., “Thank you for explaining this clearly.”). The platform’s limited affordances—restricted sharing outside of closed networks and limited comment visibility—c</w:t>
      </w:r>
      <w:r>
        <w:rPr>
          <w:rFonts w:ascii="Times New Roman"/>
          <w:lang w:val="en-GB"/>
        </w:rPr>
        <w:t>onstrain the participatory dynamic but simultaneously enhance the platform’s role as a trusted policy communication hub. This reflects Medaglia and Zheng’s (2017) observation that credibility, rather than reach, may be the decisive metric in digital govern</w:t>
      </w:r>
      <w:r>
        <w:rPr>
          <w:rFonts w:ascii="Times New Roman"/>
          <w:lang w:val="en-GB"/>
        </w:rPr>
        <w:t>ment communication.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5.3 Bilibili: Subcultural Integration and Youth-Led Civic Expression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On Bilibili, the government’s digital communication strategy reflects deep engagement with youth culture and fandom aesthetics. The Communist Youth League’s short vide</w:t>
      </w:r>
      <w:r>
        <w:rPr>
          <w:rFonts w:ascii="Times New Roman"/>
          <w:lang w:val="en-GB"/>
        </w:rPr>
        <w:t>os often employ anime-inspired visuals, retro arcade sounds, and humorous narrative tropes to translate complex topics—such as constitutional reform or environmental protection—into relatable, entertaining formats. These efforts align with Jenkins’s (2006)</w:t>
      </w:r>
      <w:r>
        <w:rPr>
          <w:rFonts w:ascii="Times New Roman"/>
          <w:lang w:val="en-GB"/>
        </w:rPr>
        <w:t xml:space="preserve"> idea of convergence culture, where users and institutions co-produce meaning through shared symbolic languages.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 xml:space="preserve">As seen in Figure 2, Bilibili displays a high volume of humorous (≈35%) and critical (≈25%) interactions, illustrating the playful but </w:t>
      </w:r>
      <w:r>
        <w:rPr>
          <w:rFonts w:ascii="Times New Roman"/>
          <w:lang w:val="en-GB"/>
        </w:rPr>
        <w:t>reflexive nature of user engagement. The platform’s unique affordances—especially bullet chats (danmu)—enable synchronous, horizontal discourse that unfolds in real time as users watch the video. This co-viewing experience transforms government content int</w:t>
      </w:r>
      <w:r>
        <w:rPr>
          <w:rFonts w:ascii="Times New Roman"/>
          <w:lang w:val="en-GB"/>
        </w:rPr>
        <w:t>o a “social event,” where meaning is negotiated, contested, or parodied by viewers. While this openness allows for wider reach and youthful appeal, it also introduces unpredictability and risk. For example, policy videos are sometimes co-opted for satire o</w:t>
      </w:r>
      <w:r>
        <w:rPr>
          <w:rFonts w:ascii="Times New Roman"/>
          <w:lang w:val="en-GB"/>
        </w:rPr>
        <w:t>r heavily memefied, complicating the control of official discourse. Nonetheless, the presence of participatory design and the integration of subcultural references enhance bottom-up legitimacy, particularly among digitally native and politically ambivalent</w:t>
      </w:r>
      <w:r>
        <w:rPr>
          <w:rFonts w:ascii="Times New Roman"/>
          <w:lang w:val="en-GB"/>
        </w:rPr>
        <w:t xml:space="preserve"> youth demographics.</w:t>
      </w:r>
    </w:p>
    <w:p w:rsidR="00D258EA" w:rsidRDefault="009B3883">
      <w:pPr>
        <w:spacing w:after="0" w:line="480" w:lineRule="auto"/>
        <w:contextualSpacing/>
        <w:rPr>
          <w:rFonts w:ascii="Times New Roman" w:hAnsi="Times New Roman" w:cs="Times New Roman"/>
          <w:kern w:val="2"/>
          <w:sz w:val="20"/>
          <w:szCs w:val="20"/>
          <w:lang w:val="en-GB" w:eastAsia="zh-CN"/>
          <w14:ligatures w14:val="standardContextual"/>
        </w:rPr>
      </w:pPr>
      <w:r>
        <w:rPr>
          <w:rFonts w:ascii="Times New Roman" w:hAnsi="Times New Roman" w:cs="Times New Roman"/>
          <w:b/>
          <w:bCs/>
          <w:kern w:val="2"/>
          <w:sz w:val="20"/>
          <w:szCs w:val="20"/>
          <w:lang w:val="en-GB" w:eastAsia="zh-CN"/>
          <w14:ligatures w14:val="standardContextual"/>
        </w:rPr>
        <w:t>Figure 2:</w:t>
      </w:r>
      <w:r>
        <w:rPr>
          <w:rFonts w:ascii="Times New Roman" w:hAnsi="Times New Roman" w:cs="Times New Roman"/>
          <w:kern w:val="2"/>
          <w:sz w:val="20"/>
          <w:szCs w:val="20"/>
          <w:lang w:val="en-GB" w:eastAsia="zh-CN"/>
          <w14:ligatures w14:val="standardContextual"/>
        </w:rPr>
        <w:t xml:space="preserve"> User Engagement Type Distribution Across Platforms</w:t>
      </w:r>
    </w:p>
    <w:p w:rsidR="00D258EA" w:rsidRDefault="009B3883">
      <w:pPr>
        <w:rPr>
          <w:rFonts w:ascii="Times New Roman" w:hAnsi="Times New Roman" w:cs="Times New Roman"/>
        </w:rPr>
      </w:pPr>
      <w:r>
        <w:rPr>
          <w:rFonts w:ascii="Times New Roman" w:hAnsi="Times New Roman" w:cs="Times New Roman"/>
          <w:noProof/>
        </w:rPr>
        <w:lastRenderedPageBreak/>
        <w:drawing>
          <wp:inline distT="0" distB="0" distL="114300" distR="114300">
            <wp:extent cx="5029200" cy="3352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9"/>
                    <a:stretch>
                      <a:fillRect/>
                    </a:stretch>
                  </pic:blipFill>
                  <pic:spPr>
                    <a:xfrm>
                      <a:off x="0" y="0"/>
                      <a:ext cx="5029200" cy="3352800"/>
                    </a:xfrm>
                    <a:prstGeom prst="rect">
                      <a:avLst/>
                    </a:prstGeom>
                  </pic:spPr>
                </pic:pic>
              </a:graphicData>
            </a:graphic>
          </wp:inline>
        </w:drawing>
      </w:r>
    </w:p>
    <w:p w:rsidR="00D258EA" w:rsidRDefault="009B3883">
      <w:pPr>
        <w:spacing w:after="0" w:line="480" w:lineRule="auto"/>
        <w:contextualSpacing/>
        <w:rPr>
          <w:rFonts w:ascii="Times New Roman" w:hAnsi="Times New Roman" w:cs="Times New Roman"/>
          <w:kern w:val="2"/>
          <w:sz w:val="20"/>
          <w:szCs w:val="20"/>
          <w:lang w:val="en-GB" w:eastAsia="zh-CN"/>
          <w14:ligatures w14:val="standardContextual"/>
        </w:rPr>
      </w:pPr>
      <w:r>
        <w:rPr>
          <w:rFonts w:ascii="Times New Roman" w:hAnsi="Times New Roman" w:cs="Times New Roman"/>
          <w:kern w:val="2"/>
          <w:sz w:val="20"/>
          <w:szCs w:val="20"/>
          <w:lang w:val="en-GB" w:eastAsia="zh-CN"/>
          <w14:ligatures w14:val="standardContextual"/>
        </w:rPr>
        <w:t>Table 1: Platform Comparison Table</w:t>
      </w:r>
    </w:p>
    <w:tbl>
      <w:tblPr>
        <w:tblW w:w="0" w:type="auto"/>
        <w:tblLook w:val="04A0" w:firstRow="1" w:lastRow="0" w:firstColumn="1" w:lastColumn="0" w:noHBand="0" w:noVBand="1"/>
      </w:tblPr>
      <w:tblGrid>
        <w:gridCol w:w="1440"/>
        <w:gridCol w:w="1440"/>
        <w:gridCol w:w="1440"/>
        <w:gridCol w:w="1440"/>
        <w:gridCol w:w="1560"/>
        <w:gridCol w:w="1440"/>
      </w:tblGrid>
      <w:tr w:rsidR="00D258EA">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Platform</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Content Focus</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Narrative Style</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User Engagement</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Algorithmic Affordance</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Dominant Audience</w:t>
            </w:r>
          </w:p>
        </w:tc>
      </w:tr>
      <w:tr w:rsidR="00D258EA">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TikTok (Douyin)</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 xml:space="preserve">Policy visualization, </w:t>
            </w:r>
            <w:r>
              <w:rPr>
                <w:rFonts w:ascii="Times New Roman" w:hAnsi="Times New Roman" w:cs="Times New Roman"/>
                <w:kern w:val="2"/>
                <w:sz w:val="20"/>
                <w:szCs w:val="20"/>
                <w:lang w:val="en-CA" w:eastAsia="zh-CN"/>
                <w14:ligatures w14:val="standardContextual"/>
              </w:rPr>
              <w:t>viral storytelling</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Short-form, emotionally driven</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High (likes, shares, duets)</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Strong recommendation loop</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General public, mobile-first users</w:t>
            </w:r>
          </w:p>
        </w:tc>
      </w:tr>
      <w:tr w:rsidR="00D258EA">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WeChat Video Channel</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Community-focused public services</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Narrative depth, dialect features</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 xml:space="preserve">Moderate (comments, </w:t>
            </w:r>
            <w:r>
              <w:rPr>
                <w:rFonts w:ascii="Times New Roman" w:hAnsi="Times New Roman" w:cs="Times New Roman"/>
                <w:kern w:val="2"/>
                <w:sz w:val="20"/>
                <w:szCs w:val="20"/>
                <w:lang w:val="en-CA" w:eastAsia="zh-CN"/>
                <w14:ligatures w14:val="standardContextual"/>
              </w:rPr>
              <w:t>reposts)</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Friend-based sharing</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Local residents, service seekers</w:t>
            </w:r>
          </w:p>
        </w:tc>
      </w:tr>
      <w:tr w:rsidR="00D258EA">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Bilibili</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Youth-oriented civic education</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Subcultural, gamified</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High (comments, bullet chats)</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Tag-driven discovery</w:t>
            </w:r>
          </w:p>
        </w:tc>
        <w:tc>
          <w:tcPr>
            <w:tcW w:w="1440" w:type="dxa"/>
          </w:tcPr>
          <w:p w:rsidR="00D258EA" w:rsidRDefault="009B3883">
            <w:pPr>
              <w:widowControl w:val="0"/>
              <w:spacing w:after="0" w:line="480" w:lineRule="auto"/>
              <w:contextualSpacing/>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Gen Z, subcultural communities</w:t>
            </w:r>
          </w:p>
        </w:tc>
      </w:tr>
    </w:tbl>
    <w:p w:rsidR="00D258EA" w:rsidRDefault="00D258EA">
      <w:pPr>
        <w:pStyle w:val="NormalWeb"/>
        <w:rPr>
          <w:rFonts w:ascii="Times New Roman" w:hAnsi="Times New Roman"/>
        </w:rPr>
      </w:pP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6. Discussion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lastRenderedPageBreak/>
        <w:t xml:space="preserve">The findings of this study </w:t>
      </w:r>
      <w:r>
        <w:rPr>
          <w:rFonts w:ascii="Times New Roman"/>
          <w:lang w:val="en-GB"/>
        </w:rPr>
        <w:t>illustrate how government short videos on social media are deeply shaped by the triadic interaction between narrative convergence, participatory design, and digital affordances. This section discusses these findings through the lens of the CPA (Convergence</w:t>
      </w:r>
      <w:r>
        <w:rPr>
          <w:rFonts w:ascii="Times New Roman"/>
          <w:lang w:val="en-GB"/>
        </w:rPr>
        <w:t>–Participation–Affordance) framework and situates them within broader academic debates on digital governance, platform society, and mediated public engagement. Three central themes emerge: the differentiated logic of platform-specific governance communicat</w:t>
      </w:r>
      <w:r>
        <w:rPr>
          <w:rFonts w:ascii="Times New Roman"/>
          <w:lang w:val="en-GB"/>
        </w:rPr>
        <w:t>ion, the tension between performative participation and substantive engagement, and the opportunities and constraints posed by algorithmic infrastructures.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6.1 Platform-Specific Governance Logics: One Message, Multiple Media Worlds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Although all three platf</w:t>
      </w:r>
      <w:r>
        <w:rPr>
          <w:rFonts w:ascii="Times New Roman"/>
          <w:lang w:val="en-GB"/>
        </w:rPr>
        <w:t>orms serve as vehicles for public communication, their communicative architectures generate distinct governance dynamics. On TikTok, the government's convergence strategy involves transforming policy information into emotionally resonant, fast-paced conten</w:t>
      </w:r>
      <w:r>
        <w:rPr>
          <w:rFonts w:ascii="Times New Roman"/>
          <w:lang w:val="en-GB"/>
        </w:rPr>
        <w:t>t that aligns with platform culture. This convergence enables broad diffusion and emotional mobilization, but risks oversimplifying complex policies for entertainment value. On WeChat, communication logic is more utilitarian and trust-oriented, prioritizin</w:t>
      </w:r>
      <w:r>
        <w:rPr>
          <w:rFonts w:ascii="Times New Roman"/>
          <w:lang w:val="en-GB"/>
        </w:rPr>
        <w:t>g clarity and credibility over virality, resonating with middle-aged users and residents in need of practical services. Bilibili, by contrast, invites a youth-driven reinterpretation of official narratives through subcultural lenses, creating unpredictable</w:t>
      </w:r>
      <w:r>
        <w:rPr>
          <w:rFonts w:ascii="Times New Roman"/>
          <w:lang w:val="en-GB"/>
        </w:rPr>
        <w:t xml:space="preserve"> but authentic civic dialogue.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This asymmetry challenges the assumption of a “one-size-fits-all” digital government strategy. As Chadwick (2017) and van Dijck et al. (2018) argue, media hybridity necessitates adaptive communication strategies tailored to p</w:t>
      </w:r>
      <w:r>
        <w:rPr>
          <w:rFonts w:ascii="Times New Roman"/>
          <w:lang w:val="en-GB"/>
        </w:rPr>
        <w:t>latform affordances and audience culture. Our findings affirm this view, suggesting that effective digital governance must balance message consistency with aesthetic and functional flexibility. This implies a shift from centralized command-and-control mess</w:t>
      </w:r>
      <w:r>
        <w:rPr>
          <w:rFonts w:ascii="Times New Roman"/>
          <w:lang w:val="en-GB"/>
        </w:rPr>
        <w:t>aging to a “polyphonic governance model,” where multiple platform voices and logics co-exist under a unified institutional narrative framework.</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6.2 Performative vs. Substantive Participation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 xml:space="preserve">While social media platforms promise two-way engagement, not all </w:t>
      </w:r>
      <w:r>
        <w:rPr>
          <w:rFonts w:ascii="Times New Roman"/>
          <w:lang w:val="en-GB"/>
        </w:rPr>
        <w:t>forms of participation are equally meaningful. On TikTok, the abundance of supportive and humorous engagement often reflects performative participation—interactions driven more by platform incentives and affective resonance than by critical civic deliberat</w:t>
      </w:r>
      <w:r>
        <w:rPr>
          <w:rFonts w:ascii="Times New Roman"/>
          <w:lang w:val="en-GB"/>
        </w:rPr>
        <w:t xml:space="preserve">ion. This confirms Papacharissi’s (2015) notion of “affective publics,” where emotional expression substitutes for structured dialogue. WeChat, with its semi-private architecture, </w:t>
      </w:r>
      <w:r>
        <w:rPr>
          <w:rFonts w:ascii="Times New Roman"/>
          <w:lang w:val="en-GB"/>
        </w:rPr>
        <w:lastRenderedPageBreak/>
        <w:t>facilitates more substantive engagement, where users pose questions and seek</w:t>
      </w:r>
      <w:r>
        <w:rPr>
          <w:rFonts w:ascii="Times New Roman"/>
          <w:lang w:val="en-GB"/>
        </w:rPr>
        <w:t xml:space="preserve"> clarification on real policies. Bilibili presents a hybrid scenario: users remix and challenge official narratives, producing a unique form of “reflexive participation” that is both critical and creative.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However, the presence of interaction alone does no</w:t>
      </w:r>
      <w:r>
        <w:rPr>
          <w:rFonts w:ascii="Times New Roman"/>
          <w:lang w:val="en-GB"/>
        </w:rPr>
        <w:t>t guarantee democratic legitimacy. As Fung (2015) and Kaye et al. (2021) caution, participatory infrastructures can mask unequal power relations if governments merely simulate responsiveness without incorporating feedback into decision-making. The findings</w:t>
      </w:r>
      <w:r>
        <w:rPr>
          <w:rFonts w:ascii="Times New Roman"/>
          <w:lang w:val="en-GB"/>
        </w:rPr>
        <w:t xml:space="preserve"> thus highlight the need for governments to move beyond visibility and toward accountability—by incorporating user feedback into policy cycles and co-creating content with platform communities.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6.3 Algorithmic Infrastructure: Affordance and Ambiguity</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Digit</w:t>
      </w:r>
      <w:r>
        <w:rPr>
          <w:rFonts w:ascii="Times New Roman"/>
          <w:lang w:val="en-GB"/>
        </w:rPr>
        <w:t xml:space="preserve">al affordances such as trending algorithms, recommendation feeds, bullet chats, and duet functions enable unique forms of civic interaction. Yet, these same affordances also constrain engagement by privileging emotionally charged, non-critical content. On </w:t>
      </w:r>
      <w:r>
        <w:rPr>
          <w:rFonts w:ascii="Times New Roman"/>
          <w:lang w:val="en-GB"/>
        </w:rPr>
        <w:t>TikTok, the virality logic often amplifies content with high affective salience but suppresses dissent or complexity, a phenomenon consistent with Tufekci’s (2015) critique of “algorithmic harms.” Bilibili’s bullet chats foster dynamic expression, but thei</w:t>
      </w:r>
      <w:r>
        <w:rPr>
          <w:rFonts w:ascii="Times New Roman"/>
          <w:lang w:val="en-GB"/>
        </w:rPr>
        <w:t>r speed and ephemerality may dilute deliberation. WeChat’s limited public visibility supports credibility but restricts dialogic potential.</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 xml:space="preserve">This underscores the ambiguous role of algorithmic systems in digital governance. As Zeng and Liu (2020) argue, </w:t>
      </w:r>
      <w:r>
        <w:rPr>
          <w:rFonts w:ascii="Times New Roman"/>
          <w:lang w:val="en-GB"/>
        </w:rPr>
        <w:t>algorithmic governmentality can obscure state control through decentralized, data-driven mechanisms. Our findings suggest that while platform affordances offer new tools for engagement, they also reproduce digital hierarchies that may marginalize slow, cri</w:t>
      </w:r>
      <w:r>
        <w:rPr>
          <w:rFonts w:ascii="Times New Roman"/>
          <w:lang w:val="en-GB"/>
        </w:rPr>
        <w:t>tical, or minority perspectives. To mitigate these effects, governments must not only adapt to platforms but also push for platform accountability, such as transparency in algorithmic curation and space for counter-narratives.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In summary, the discussion re</w:t>
      </w:r>
      <w:r>
        <w:rPr>
          <w:rFonts w:ascii="Times New Roman"/>
          <w:lang w:val="en-GB"/>
        </w:rPr>
        <w:t>veals that while government short videos offer unprecedented opportunities for public communication, their effectiveness depends on platform-specific adaptation, commitment to authentic engagement, and awareness of algorithmic constraints. These findings c</w:t>
      </w:r>
      <w:r>
        <w:rPr>
          <w:rFonts w:ascii="Times New Roman"/>
          <w:lang w:val="en-GB"/>
        </w:rPr>
        <w:t>ontribute to ongoing scholarly efforts to rethink digital democracy in the age of platform society and offer concrete directions for building more inclusive and responsive communication systems in digital governance.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7. Conclusion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lastRenderedPageBreak/>
        <w:t>Government short videos h</w:t>
      </w:r>
      <w:r>
        <w:rPr>
          <w:rFonts w:ascii="Times New Roman"/>
          <w:lang w:val="en-GB"/>
        </w:rPr>
        <w:t>ave rapidly evolved into a critical instrument of digital governance, reshaping how policy information is conveyed, interpreted, and acted upon in the platform society. Through a comparative multi-case analysis of TikTok, WeChat Video Channel, and Bilibili</w:t>
      </w:r>
      <w:r>
        <w:rPr>
          <w:rFonts w:ascii="Times New Roman"/>
          <w:lang w:val="en-GB"/>
        </w:rPr>
        <w:t>, this study demonstrates that effective digital public communication depends not only on content quality but also on how well institutions navigate the distinct participatory cultures, algorithmic infrastructures, and audience expectations of each platfor</w:t>
      </w:r>
      <w:r>
        <w:rPr>
          <w:rFonts w:ascii="Times New Roman"/>
          <w:lang w:val="en-GB"/>
        </w:rPr>
        <w:t>m. The proposed CPA (Convergence–Participation–Affordance) framework has provided a systematic lens for examining the structural and interactional dimensions of government video dissemination. The findings reveal that while TikTok enables emotional converg</w:t>
      </w:r>
      <w:r>
        <w:rPr>
          <w:rFonts w:ascii="Times New Roman"/>
          <w:lang w:val="en-GB"/>
        </w:rPr>
        <w:t>ence and wide reach, WeChat fosters credibility and practical interaction, and Bilibili encourages subcultural adaptation and youth-led reflexivity. Together, these insights offer valuable guidance for policy innovation and institutional reform in the digi</w:t>
      </w:r>
      <w:r>
        <w:rPr>
          <w:rFonts w:ascii="Times New Roman"/>
          <w:lang w:val="en-GB"/>
        </w:rPr>
        <w:t>tal age.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t>7.1 Policy Implications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The study suggests three key policy directions for enhancing the governance value of short video communication: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First, governments should adopt a platform-differentiated strategy that aligns message form and tone with the a</w:t>
      </w:r>
      <w:r>
        <w:rPr>
          <w:rFonts w:ascii="Times New Roman"/>
          <w:lang w:val="en-GB"/>
        </w:rPr>
        <w:t>ffordances and user demographics of each platform. This requires moving beyond uniform content repurposing toward tailored design that optimizes impact and inclusivity.</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Second, to ensure genuine civic engagement, digital communication units within public i</w:t>
      </w:r>
      <w:r>
        <w:rPr>
          <w:rFonts w:ascii="Times New Roman"/>
          <w:lang w:val="en-GB"/>
        </w:rPr>
        <w:t>nstitutions should establish feedback integration mechanisms. These can include real-time comment analysis systems, participatory content co-creation (e.g., contests, citizen reporters), and periodic content reviews informed by user insights.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Third, regula</w:t>
      </w:r>
      <w:r>
        <w:rPr>
          <w:rFonts w:ascii="Times New Roman"/>
          <w:lang w:val="en-GB"/>
        </w:rPr>
        <w:t>tory attention must be directed toward platform transparency and accountability, especially regarding algorithmic biases, shadow banning, or content suppression that may distort public discourse. Collaborative governance arrangements between governments, p</w:t>
      </w:r>
      <w:r>
        <w:rPr>
          <w:rFonts w:ascii="Times New Roman"/>
          <w:lang w:val="en-GB"/>
        </w:rPr>
        <w:t>latforms, and civil society actors can help ensure that digital infrastructures support pluralism and democratic participation.</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These strategies require not only technical capacity-building but also cultural transformation within public institutions—one th</w:t>
      </w:r>
      <w:r>
        <w:rPr>
          <w:rFonts w:ascii="Times New Roman"/>
          <w:lang w:val="en-GB"/>
        </w:rPr>
        <w:t>at values open dialogue, agility, and responsiveness as foundational pillars of twenty-first-century governance.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b/>
          <w:bCs/>
          <w:lang w:val="en-GB" w:eastAsia="en-US"/>
        </w:rPr>
      </w:pPr>
      <w:r>
        <w:rPr>
          <w:rFonts w:ascii="Times New Roman"/>
          <w:b/>
          <w:bCs/>
          <w:lang w:val="en-GB" w:eastAsia="en-US"/>
        </w:rPr>
        <w:lastRenderedPageBreak/>
        <w:t>7.2 Future Research Directions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 xml:space="preserve">While this study offers significant contributions, several limitations point to opportunities for future </w:t>
      </w:r>
      <w:r>
        <w:rPr>
          <w:rFonts w:ascii="Times New Roman"/>
          <w:lang w:val="en-GB"/>
        </w:rPr>
        <w:t>research. First, the dataset focused on three major platforms in China; comparative studies involving non-Chinese platforms such as YouTube Shorts, Instagram Reels, or Facebook Watch would enrich the understanding of cross-cultural digital governance model</w:t>
      </w:r>
      <w:r>
        <w:rPr>
          <w:rFonts w:ascii="Times New Roman"/>
          <w:lang w:val="en-GB"/>
        </w:rPr>
        <w:t>s. Second, future research could expand beyond qualitative case studies to include computational analysis of larger datasets—incorporating network analysis, sentiment dynamics over time, and A/B testing of content formats.</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Third, the psychological and cogn</w:t>
      </w:r>
      <w:r>
        <w:rPr>
          <w:rFonts w:ascii="Times New Roman"/>
          <w:lang w:val="en-GB"/>
        </w:rPr>
        <w:t>itive dimensions of audience reception merit deeper exploration. Investigating how short videos influence public trust, policy comprehension, or behavioral intent across demographic groups would offer actionable insights for both communication design and p</w:t>
      </w:r>
      <w:r>
        <w:rPr>
          <w:rFonts w:ascii="Times New Roman"/>
          <w:lang w:val="en-GB"/>
        </w:rPr>
        <w:t>olicy framing. Finally, more attention should be paid to ethical considerations and data justice—including how marginalized voices are represented (or excluded) in algorithmically mediated public discourse.</w:t>
      </w:r>
    </w:p>
    <w:p w:rsidR="00D258EA" w:rsidRDefault="009B3883">
      <w:pPr>
        <w:pStyle w:val="a"/>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pacing w:line="480" w:lineRule="auto"/>
        <w:contextualSpacing/>
        <w:rPr>
          <w:rFonts w:ascii="Times New Roman"/>
          <w:lang w:val="en-GB"/>
        </w:rPr>
      </w:pPr>
      <w:r>
        <w:rPr>
          <w:rFonts w:ascii="Times New Roman"/>
          <w:lang w:val="en-GB"/>
        </w:rPr>
        <w:t>In sum, this study underscores the urgent need fo</w:t>
      </w:r>
      <w:r>
        <w:rPr>
          <w:rFonts w:ascii="Times New Roman"/>
          <w:lang w:val="en-GB"/>
        </w:rPr>
        <w:t>r more interdisciplinary, comparative, and ethically grounded research at the intersection of media, technology, and governance. Only through such efforts can digital communication evolve from a tactical tool into a transformative force for democratic rene</w:t>
      </w:r>
      <w:r>
        <w:rPr>
          <w:rFonts w:ascii="Times New Roman"/>
          <w:lang w:val="en-GB"/>
        </w:rPr>
        <w:t>wal.</w:t>
      </w:r>
    </w:p>
    <w:p w:rsidR="00D258EA" w:rsidRDefault="009B3883">
      <w:pPr>
        <w:pStyle w:val="Bibliography2"/>
        <w:spacing w:after="0" w:line="480" w:lineRule="auto"/>
        <w:contextualSpacing/>
        <w:jc w:val="both"/>
        <w:rPr>
          <w:rFonts w:ascii="Times New Roman" w:hAnsi="Times New Roman" w:cs="Times New Roman"/>
          <w:b/>
          <w:bCs/>
          <w:kern w:val="2"/>
          <w:sz w:val="20"/>
          <w:szCs w:val="20"/>
          <w:lang w:val="en-GB"/>
          <w14:ligatures w14:val="standardContextual"/>
        </w:rPr>
      </w:pPr>
      <w:r>
        <w:rPr>
          <w:rFonts w:ascii="Times New Roman" w:hAnsi="Times New Roman" w:cs="Times New Roman"/>
          <w:b/>
          <w:bCs/>
          <w:kern w:val="2"/>
          <w:sz w:val="20"/>
          <w:szCs w:val="20"/>
          <w:lang w:val="en-GB"/>
          <w14:ligatures w14:val="standardContextual"/>
        </w:rPr>
        <w:t>References</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Bertot, J. C., Jaeger, P. T., &amp; Hansen, D. (2012). The impact of policies on government social media usage: Issues, challenges, and recommendations. Government Information Quarterly, 29(1), 30–40. https://doi.org/10.1016/j.giq.2011.04.004</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C</w:t>
      </w:r>
      <w:r>
        <w:rPr>
          <w:rFonts w:ascii="Times New Roman" w:hAnsi="Times New Roman" w:cs="Times New Roman"/>
          <w:kern w:val="2"/>
          <w:sz w:val="20"/>
          <w:szCs w:val="20"/>
          <w:lang w:val="en-CA" w:eastAsia="zh-CN"/>
          <w14:ligatures w14:val="standardContextual"/>
        </w:rPr>
        <w:t>hadwick, A. (2017). The Hybrid Media System: Politics and Power (2nd ed.). Oxford University Press.</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Chen, Y., &amp; Zhang, X. (2020). Public communication and government influence on TikTok. Chinese Journal of Communication, 13(3), 356–373. https://doi.org/10.</w:t>
      </w:r>
      <w:r>
        <w:rPr>
          <w:rFonts w:ascii="Times New Roman" w:hAnsi="Times New Roman" w:cs="Times New Roman"/>
          <w:kern w:val="2"/>
          <w:sz w:val="20"/>
          <w:szCs w:val="20"/>
          <w:lang w:val="en-CA" w:eastAsia="zh-CN"/>
          <w14:ligatures w14:val="standardContextual"/>
        </w:rPr>
        <w:t>1080/17544750.2020.1786787</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 xml:space="preserve">Criado, J. I., &amp; </w:t>
      </w:r>
      <w:bookmarkStart w:id="0" w:name="_GoBack"/>
      <w:bookmarkEnd w:id="0"/>
      <w:r>
        <w:rPr>
          <w:rFonts w:ascii="Times New Roman" w:hAnsi="Times New Roman" w:cs="Times New Roman"/>
          <w:kern w:val="2"/>
          <w:sz w:val="20"/>
          <w:szCs w:val="20"/>
          <w:lang w:val="en-CA" w:eastAsia="zh-CN"/>
          <w14:ligatures w14:val="standardContextual"/>
        </w:rPr>
        <w:t>Rojas-Martín, F. (2013). Government innovation through social media. Government Information Quarterly, 30(4), 319–326. https://doi.org/10.1016/j.giq.2013.05.009</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Fung, A. (2015). Putting the public back into gover</w:t>
      </w:r>
      <w:r>
        <w:rPr>
          <w:rFonts w:ascii="Times New Roman" w:hAnsi="Times New Roman" w:cs="Times New Roman"/>
          <w:kern w:val="2"/>
          <w:sz w:val="20"/>
          <w:szCs w:val="20"/>
          <w:lang w:val="en-CA" w:eastAsia="zh-CN"/>
          <w14:ligatures w14:val="standardContextual"/>
        </w:rPr>
        <w:t>nance: The challenges of citizen participation and its future. Public Administration Review, 75(4), 513–522. https://doi.org/10.1111/puar.12361</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Gillespie, T. (2018). Custodians of the Internet: Platforms, Content Moderation, and the Hidden Decisions That S</w:t>
      </w:r>
      <w:r>
        <w:rPr>
          <w:rFonts w:ascii="Times New Roman" w:hAnsi="Times New Roman" w:cs="Times New Roman"/>
          <w:kern w:val="2"/>
          <w:sz w:val="20"/>
          <w:szCs w:val="20"/>
          <w:lang w:val="en-CA" w:eastAsia="zh-CN"/>
          <w14:ligatures w14:val="standardContextual"/>
        </w:rPr>
        <w:t>hape Social Media. Yale University Press.</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lastRenderedPageBreak/>
        <w:t xml:space="preserve">Harju, A. A., &amp; Huhtamäki, J. (2022). Algorithmic agency and civic engagement: A qualitative study of youth participation through TikTok. Social Media + Society, 8(3), 1–14. </w:t>
      </w:r>
      <w:r>
        <w:rPr>
          <w:rFonts w:ascii="Times New Roman" w:hAnsi="Times New Roman" w:cs="Times New Roman"/>
          <w:kern w:val="2"/>
          <w:sz w:val="20"/>
          <w:szCs w:val="20"/>
          <w:lang w:val="en-CA" w:eastAsia="zh-CN"/>
          <w14:ligatures w14:val="standardContextual"/>
        </w:rPr>
        <w:t>https://doi.org/10.1177/20563051221101858</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Highfield, T., &amp; Leaver, T. (2016). Instagrammatics and digital methods: Studying visual social media, from selfies and GIFs to memes and emoji. Communication Research and Practice, 2(1), 47–62. https://doi.org/10.</w:t>
      </w:r>
      <w:r>
        <w:rPr>
          <w:rFonts w:ascii="Times New Roman" w:hAnsi="Times New Roman" w:cs="Times New Roman"/>
          <w:kern w:val="2"/>
          <w:sz w:val="20"/>
          <w:szCs w:val="20"/>
          <w:lang w:val="en-CA" w:eastAsia="zh-CN"/>
          <w14:ligatures w14:val="standardContextual"/>
        </w:rPr>
        <w:t>1080/22041451.2016.1155332</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Jenkins, H. (2006). Convergence Culture: Where Old and New Media Collide. New York University Press.</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 xml:space="preserve">Kaye, D. B. V., Zeng, J., &amp; Schäfer, M. S. (2021). Communicative power in algorithmic societies: A comparative study of Chinese </w:t>
      </w:r>
      <w:r>
        <w:rPr>
          <w:rFonts w:ascii="Times New Roman" w:hAnsi="Times New Roman" w:cs="Times New Roman"/>
          <w:kern w:val="2"/>
          <w:sz w:val="20"/>
          <w:szCs w:val="20"/>
          <w:lang w:val="en-CA" w:eastAsia="zh-CN"/>
          <w14:ligatures w14:val="standardContextual"/>
        </w:rPr>
        <w:t>and German social media platforms. New Media &amp; Society, 23(7), 1978–1995. https://doi.org/10.1177/1461444820929328</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Medaglia, R., &amp; Zheng, L. (2017). Mapping government social media research: A bibliometric analysis. Government Information Quarterly, 34(3),</w:t>
      </w:r>
      <w:r>
        <w:rPr>
          <w:rFonts w:ascii="Times New Roman" w:hAnsi="Times New Roman" w:cs="Times New Roman"/>
          <w:kern w:val="2"/>
          <w:sz w:val="20"/>
          <w:szCs w:val="20"/>
          <w:lang w:val="en-CA" w:eastAsia="zh-CN"/>
          <w14:ligatures w14:val="standardContextual"/>
        </w:rPr>
        <w:t xml:space="preserve"> 496–510. https://doi.org/10.1016/j.giq.2017.06.002</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Mergel, I. (2013). A framework for interpreting social media interactions in the public sector. Government Information Quarterly, 30(4), 327–334. https://doi.org/10.1016/j.giq.2013.05.015</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Nagy, P., &amp; Neff</w:t>
      </w:r>
      <w:r>
        <w:rPr>
          <w:rFonts w:ascii="Times New Roman" w:hAnsi="Times New Roman" w:cs="Times New Roman"/>
          <w:kern w:val="2"/>
          <w:sz w:val="20"/>
          <w:szCs w:val="20"/>
          <w:lang w:val="en-CA" w:eastAsia="zh-CN"/>
          <w14:ligatures w14:val="standardContextual"/>
        </w:rPr>
        <w:t>, G. (2015). Imagined affordances: Reconstructing a keyword for communication theory. Social Media + Society, 1(2), 1–9. https://doi.org/10.1177/2056305115603385</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Oduro-Frimpong, J. (2020). Localizing political communication through digital visual culture i</w:t>
      </w:r>
      <w:r>
        <w:rPr>
          <w:rFonts w:ascii="Times New Roman" w:hAnsi="Times New Roman" w:cs="Times New Roman"/>
          <w:kern w:val="2"/>
          <w:sz w:val="20"/>
          <w:szCs w:val="20"/>
          <w:lang w:val="en-CA" w:eastAsia="zh-CN"/>
          <w14:ligatures w14:val="standardContextual"/>
        </w:rPr>
        <w:t>n Ghana. African Journalism Studies, 41(1), 1–19. https://doi.org/10.1080/23743670.2020.1755663</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Papacharissi, Z. (2015). Affective Publics: Sentiment, Technology, and Politics. Oxford University Press.</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 xml:space="preserve">Tufekci, Z. (2015). Algorithmic harms beyond Facebook </w:t>
      </w:r>
      <w:r>
        <w:rPr>
          <w:rFonts w:ascii="Times New Roman" w:hAnsi="Times New Roman" w:cs="Times New Roman"/>
          <w:kern w:val="2"/>
          <w:sz w:val="20"/>
          <w:szCs w:val="20"/>
          <w:lang w:val="en-CA" w:eastAsia="zh-CN"/>
          <w14:ligatures w14:val="standardContextual"/>
        </w:rPr>
        <w:t>and Google: Emergent challenges of computational agency. Colorado Technology Law Journal, 13, 203–218. https://ctlj.colorado.edu/?p=1480</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van Dijck, J., Poell, T., &amp; de Waal, M. (2018). The Platform Society: Public Values in a Connective World. Oxford Unive</w:t>
      </w:r>
      <w:r>
        <w:rPr>
          <w:rFonts w:ascii="Times New Roman" w:hAnsi="Times New Roman" w:cs="Times New Roman"/>
          <w:kern w:val="2"/>
          <w:sz w:val="20"/>
          <w:szCs w:val="20"/>
          <w:lang w:val="en-CA" w:eastAsia="zh-CN"/>
          <w14:ligatures w14:val="standardContextual"/>
        </w:rPr>
        <w:t>rsity Press.</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Wu, X., &amp; Ma, L. (2019). The dissemination power of government short videos and its influencing factors: An empirical study based on government TikTok. Electronic Government, (7), 22–30. [in Chinese]</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t xml:space="preserve">Xie, B., &amp; Tsang, S. (2021). Communicating </w:t>
      </w:r>
      <w:r>
        <w:rPr>
          <w:rFonts w:ascii="Times New Roman" w:hAnsi="Times New Roman" w:cs="Times New Roman"/>
          <w:kern w:val="2"/>
          <w:sz w:val="20"/>
          <w:szCs w:val="20"/>
          <w:lang w:val="en-CA" w:eastAsia="zh-CN"/>
          <w14:ligatures w14:val="standardContextual"/>
        </w:rPr>
        <w:t>policies through social media short videos in China. Journal of Contemporary China, 30(128), 567–582. https://doi.org/10.1080/10670564.2020.1858719</w:t>
      </w:r>
    </w:p>
    <w:p w:rsidR="00D258EA" w:rsidRDefault="009B3883">
      <w:pPr>
        <w:pStyle w:val="Bibliography2"/>
        <w:spacing w:after="0" w:line="480" w:lineRule="auto"/>
        <w:contextualSpacing/>
        <w:jc w:val="both"/>
        <w:rPr>
          <w:rFonts w:ascii="Times New Roman" w:hAnsi="Times New Roman" w:cs="Times New Roman"/>
          <w:kern w:val="2"/>
          <w:sz w:val="20"/>
          <w:szCs w:val="20"/>
          <w:lang w:val="en-CA" w:eastAsia="zh-CN"/>
          <w14:ligatures w14:val="standardContextual"/>
        </w:rPr>
      </w:pPr>
      <w:r>
        <w:rPr>
          <w:rFonts w:ascii="Times New Roman" w:hAnsi="Times New Roman" w:cs="Times New Roman"/>
          <w:kern w:val="2"/>
          <w:sz w:val="20"/>
          <w:szCs w:val="20"/>
          <w:lang w:val="en-CA" w:eastAsia="zh-CN"/>
          <w14:ligatures w14:val="standardContextual"/>
        </w:rPr>
        <w:lastRenderedPageBreak/>
        <w:t>Zeng, J., &amp; Liu, C. (2020). Algorithmic governmentality in platform societies: Evidence from China. Informat</w:t>
      </w:r>
      <w:r>
        <w:rPr>
          <w:rFonts w:ascii="Times New Roman" w:hAnsi="Times New Roman" w:cs="Times New Roman"/>
          <w:kern w:val="2"/>
          <w:sz w:val="20"/>
          <w:szCs w:val="20"/>
          <w:lang w:val="en-CA" w:eastAsia="zh-CN"/>
          <w14:ligatures w14:val="standardContextual"/>
        </w:rPr>
        <w:t>ion, Communication &amp; Society, 23(8), 1235–1251. https://doi.org/10.1080/1369118X.2020.1732319</w:t>
      </w:r>
    </w:p>
    <w:sectPr w:rsidR="00D258E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883" w:rsidRDefault="009B3883">
      <w:pPr>
        <w:spacing w:line="240" w:lineRule="auto"/>
      </w:pPr>
      <w:r>
        <w:separator/>
      </w:r>
    </w:p>
  </w:endnote>
  <w:endnote w:type="continuationSeparator" w:id="0">
    <w:p w:rsidR="009B3883" w:rsidRDefault="009B38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BatangChe">
    <w:altName w:val="Malgun Gothic"/>
    <w:charset w:val="81"/>
    <w:family w:val="modern"/>
    <w:pitch w:val="default"/>
    <w:sig w:usb0="00000000" w:usb1="00000000"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883" w:rsidRDefault="009B3883">
      <w:pPr>
        <w:spacing w:after="0"/>
      </w:pPr>
      <w:r>
        <w:separator/>
      </w:r>
    </w:p>
  </w:footnote>
  <w:footnote w:type="continuationSeparator" w:id="0">
    <w:p w:rsidR="009B3883" w:rsidRDefault="009B388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1">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2">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3">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5">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29639D"/>
    <w:rsid w:val="00326F90"/>
    <w:rsid w:val="00890F65"/>
    <w:rsid w:val="009B3883"/>
    <w:rsid w:val="00AA1D8D"/>
    <w:rsid w:val="00B47730"/>
    <w:rsid w:val="00CB0664"/>
    <w:rsid w:val="00D258EA"/>
    <w:rsid w:val="00FC693F"/>
    <w:rsid w:val="3F53122B"/>
    <w:rsid w:val="51F65F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612BA174-FDE0-4DF1-9600-7792368B3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nhideWhenUsed="1"/>
    <w:lsdException w:name="toa heading" w:semiHidden="1" w:unhideWhenUsed="1"/>
    <w:lsdException w:name="List" w:unhideWhenUsed="1"/>
    <w:lsdException w:name="List Bullet" w:unhideWhenUsed="1"/>
    <w:lsdException w:name="List Number" w:unhideWhenUsed="1" w:qFormat="1"/>
    <w:lsdException w:name="List 2" w:unhideWhenUsed="1" w:qFormat="1"/>
    <w:lsdException w:name="List 3" w:unhideWhenUsed="1"/>
    <w:lsdException w:name="List 4" w:semiHidden="1" w:unhideWhenUsed="1"/>
    <w:lsdException w:name="List 5" w:semiHidden="1" w:unhideWhenUsed="1"/>
    <w:lsdException w:name="List Bullet 2" w:unhideWhenUsed="1" w:qFormat="1"/>
    <w:lsdException w:name="List Bullet 3" w:unhideWhenUsed="1"/>
    <w:lsdException w:name="List Bullet 4" w:semiHidden="1" w:unhideWhenUsed="1"/>
    <w:lsdException w:name="List Bullet 5" w:semiHidden="1" w:unhideWhenUsed="1"/>
    <w:lsdException w:name="List Number 2" w:unhideWhenUsed="1" w:qFormat="1"/>
    <w:lsdException w:name="List Number 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lsdException w:name="Body Text Indent" w:semiHidden="1" w:unhideWhenUsed="1"/>
    <w:lsdException w:name="List Continue" w:unhideWhenUsed="1" w:qFormat="1"/>
    <w:lsdException w:name="List Continue 2" w:unhideWhenUsed="1" w:qFormat="1"/>
    <w:lsdException w:name="List Continue 3"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lsdException w:name="Colorful Shading" w:uiPriority="71" w:qFormat="1"/>
    <w:lsdException w:name="Colorful List" w:uiPriority="72" w:qFormat="1"/>
    <w:lsdException w:name="Colorful Grid" w:uiPriority="73" w:qFormat="1"/>
    <w:lsdException w:name="Light Shading Accent 1" w:uiPriority="60"/>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Quote" w:uiPriority="29" w:qFormat="1"/>
    <w:lsdException w:name="Intense Quote" w:uiPriority="30" w:qFormat="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qFormat="1"/>
    <w:lsdException w:name="Light Shading Accent 3" w:uiPriority="60"/>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lsdException w:name="Dark List Accent 4" w:uiPriority="70"/>
    <w:lsdException w:name="Colorful Shading Accent 4" w:uiPriority="7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lsdException w:name="Dark List Accent 5" w:uiPriority="70"/>
    <w:lsdException w:name="Colorful Shading Accent 5" w:uiPriority="71"/>
    <w:lsdException w:name="Colorful List Accent 5" w:uiPriority="72" w:qFormat="1"/>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EastAsia" w:hAnsiTheme="minorHAnsi" w:cstheme="minorBidi"/>
      <w:sz w:val="21"/>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unhideWhenUse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rPr>
  </w:style>
  <w:style w:type="paragraph" w:styleId="List3">
    <w:name w:val="List 3"/>
    <w:basedOn w:val="Normal"/>
    <w:uiPriority w:val="99"/>
    <w:unhideWhenUsed/>
    <w:pPr>
      <w:ind w:left="1080" w:hanging="360"/>
      <w:contextualSpacing/>
    </w:pPr>
  </w:style>
  <w:style w:type="paragraph" w:styleId="ListNumber2">
    <w:name w:val="List Number 2"/>
    <w:basedOn w:val="Normal"/>
    <w:uiPriority w:val="99"/>
    <w:unhideWhenUsed/>
    <w:qFormat/>
    <w:pPr>
      <w:numPr>
        <w:numId w:val="1"/>
      </w:numPr>
      <w:contextualSpacing/>
    </w:pPr>
  </w:style>
  <w:style w:type="paragraph" w:styleId="ListNumber">
    <w:name w:val="List Number"/>
    <w:basedOn w:val="Normal"/>
    <w:uiPriority w:val="99"/>
    <w:unhideWhenUsed/>
    <w:qFormat/>
    <w:pPr>
      <w:numPr>
        <w:numId w:val="2"/>
      </w:numPr>
      <w:contextualSpacing/>
    </w:p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paragraph" w:styleId="ListBullet">
    <w:name w:val="List Bullet"/>
    <w:basedOn w:val="Normal"/>
    <w:uiPriority w:val="99"/>
    <w:unhideWhenUsed/>
    <w:pPr>
      <w:numPr>
        <w:numId w:val="3"/>
      </w:numPr>
      <w:contextualSpacing/>
    </w:pPr>
  </w:style>
  <w:style w:type="paragraph" w:styleId="BodyText3">
    <w:name w:val="Body Text 3"/>
    <w:basedOn w:val="Normal"/>
    <w:link w:val="BodyText3Char"/>
    <w:uiPriority w:val="99"/>
    <w:unhideWhenUsed/>
    <w:pPr>
      <w:spacing w:after="120"/>
    </w:pPr>
    <w:rPr>
      <w:sz w:val="16"/>
      <w:szCs w:val="16"/>
    </w:rPr>
  </w:style>
  <w:style w:type="paragraph" w:styleId="ListBullet3">
    <w:name w:val="List Bullet 3"/>
    <w:basedOn w:val="Normal"/>
    <w:uiPriority w:val="99"/>
    <w:unhideWhenUsed/>
    <w:pPr>
      <w:numPr>
        <w:numId w:val="4"/>
      </w:numPr>
      <w:contextualSpacing/>
    </w:pPr>
  </w:style>
  <w:style w:type="paragraph" w:styleId="BodyText">
    <w:name w:val="Body Text"/>
    <w:basedOn w:val="Normal"/>
    <w:link w:val="BodyTextChar"/>
    <w:uiPriority w:val="99"/>
    <w:unhideWhenUsed/>
    <w:pPr>
      <w:spacing w:after="120"/>
    </w:pPr>
  </w:style>
  <w:style w:type="paragraph" w:styleId="ListNumber3">
    <w:name w:val="List Number 3"/>
    <w:basedOn w:val="Normal"/>
    <w:uiPriority w:val="99"/>
    <w:unhideWhenUsed/>
    <w:pPr>
      <w:numPr>
        <w:numId w:val="5"/>
      </w:numPr>
      <w:contextualSpacing/>
    </w:pPr>
  </w:style>
  <w:style w:type="paragraph" w:styleId="List2">
    <w:name w:val="List 2"/>
    <w:basedOn w:val="Normal"/>
    <w:uiPriority w:val="99"/>
    <w:unhideWhenUsed/>
    <w:qFormat/>
    <w:pPr>
      <w:ind w:left="720" w:hanging="360"/>
      <w:contextualSpacing/>
    </w:pPr>
  </w:style>
  <w:style w:type="paragraph" w:styleId="ListContinue">
    <w:name w:val="List Continue"/>
    <w:basedOn w:val="Normal"/>
    <w:uiPriority w:val="99"/>
    <w:unhideWhenUsed/>
    <w:qFormat/>
    <w:pPr>
      <w:spacing w:after="120"/>
      <w:ind w:left="360"/>
      <w:contextualSpacing/>
    </w:pPr>
  </w:style>
  <w:style w:type="paragraph" w:styleId="ListBullet2">
    <w:name w:val="List Bullet 2"/>
    <w:basedOn w:val="Normal"/>
    <w:uiPriority w:val="99"/>
    <w:unhideWhenUsed/>
    <w:qFormat/>
    <w:pPr>
      <w:numPr>
        <w:numId w:val="6"/>
      </w:numPr>
      <w:contextualSpacing/>
    </w:p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paragraph" w:styleId="List">
    <w:name w:val="List"/>
    <w:basedOn w:val="Normal"/>
    <w:uiPriority w:val="99"/>
    <w:unhideWhenUsed/>
    <w:pPr>
      <w:ind w:left="360" w:hanging="360"/>
      <w:contextualSpacing/>
    </w:pPr>
  </w:style>
  <w:style w:type="paragraph" w:styleId="BodyText2">
    <w:name w:val="Body Text 2"/>
    <w:basedOn w:val="Normal"/>
    <w:link w:val="BodyText2Char"/>
    <w:uiPriority w:val="99"/>
    <w:unhideWhenUsed/>
    <w:qFormat/>
    <w:pPr>
      <w:spacing w:after="120" w:line="480" w:lineRule="auto"/>
    </w:pPr>
  </w:style>
  <w:style w:type="paragraph" w:styleId="ListContinue2">
    <w:name w:val="List Continue 2"/>
    <w:basedOn w:val="Normal"/>
    <w:uiPriority w:val="99"/>
    <w:unhideWhenUsed/>
    <w:qFormat/>
    <w:pPr>
      <w:spacing w:after="120"/>
      <w:ind w:left="720"/>
      <w:contextualSpacing/>
    </w:pPr>
  </w:style>
  <w:style w:type="paragraph" w:styleId="NormalWeb">
    <w:name w:val="Normal (Web)"/>
    <w:basedOn w:val="Normal"/>
    <w:uiPriority w:val="99"/>
    <w:semiHidden/>
    <w:unhideWhenUsed/>
    <w:pPr>
      <w:spacing w:beforeAutospacing="1" w:after="0" w:afterAutospacing="1"/>
    </w:pPr>
    <w:rPr>
      <w:rFonts w:cs="Times New Roman"/>
      <w:sz w:val="24"/>
      <w:lang w:eastAsia="zh-CN"/>
    </w:rPr>
  </w:style>
  <w:style w:type="paragraph" w:styleId="ListContinue3">
    <w:name w:val="List Continue 3"/>
    <w:basedOn w:val="Normal"/>
    <w:uiPriority w:val="99"/>
    <w:unhideWhenUsed/>
    <w:pPr>
      <w:spacing w:after="120"/>
      <w:ind w:left="1080"/>
      <w:contextualSpacing/>
    </w:p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qFormat/>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qFormat/>
    <w:rPr>
      <w:color w:val="E36C0A" w:themeColor="accent6" w:themeShade="BF"/>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qFormat/>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qFormat/>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qFormat/>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qFormat/>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qFormat/>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qFormat/>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qFormat/>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qFormat/>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qFormat/>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qFormat/>
    <w:rPr>
      <w:color w:val="000000" w:themeColor="text1"/>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qFormat/>
    <w:rPr>
      <w:color w:val="000000" w:themeColor="text1"/>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qFormat/>
    <w:rPr>
      <w:color w:val="000000" w:themeColor="text1"/>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qFormat/>
    <w:rPr>
      <w:color w:val="000000" w:themeColor="text1"/>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qFormat/>
    <w:rPr>
      <w:color w:val="000000" w:themeColor="text1"/>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qFormat/>
    <w:rPr>
      <w:color w:val="000000" w:themeColor="text1"/>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qFormat/>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qFormat/>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qFormat/>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qFormat/>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qFormat/>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qFormat/>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qFormat/>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qFormat/>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qFormat/>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qFormat/>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qFormat/>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qFormat/>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qFormat/>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qFormat/>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qFormat/>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qFormat/>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qFormat/>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qFormat/>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qFormat/>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rPr>
      <w:color w:val="FFFFFF" w:themeColor="background1"/>
    </w:rPr>
    <w:tblPr>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qFormat/>
    <w:rPr>
      <w:color w:val="FFFFFF" w:themeColor="background1"/>
    </w:rPr>
    <w:tblPr>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Pr>
      <w:color w:val="FFFFFF" w:themeColor="background1"/>
    </w:rPr>
    <w:tblPr>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Pr>
      <w:color w:val="FFFFFF" w:themeColor="background1"/>
    </w:rPr>
    <w:tblPr>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Pr>
      <w:color w:val="FFFFFF" w:themeColor="background1"/>
    </w:rPr>
    <w:tblPr>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Pr>
      <w:color w:val="FFFFFF" w:themeColor="background1"/>
    </w:rPr>
    <w:tblPr>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Pr>
      <w:color w:val="FFFFFF" w:themeColor="background1"/>
    </w:rPr>
    <w:tblPr>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qFormat/>
    <w:rPr>
      <w:color w:val="000000" w:themeColor="text1"/>
    </w:rPr>
    <w:tblPr>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Pr>
      <w:color w:val="000000" w:themeColor="text1"/>
    </w:rPr>
    <w:tblPr>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Pr>
      <w:color w:val="000000" w:themeColor="text1"/>
    </w:rPr>
    <w:tblPr>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Pr>
      <w:color w:val="000000" w:themeColor="text1"/>
    </w:rPr>
    <w:tblPr>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Pr>
      <w:color w:val="000000" w:themeColor="text1"/>
    </w:rPr>
    <w:tblPr>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Pr>
      <w:color w:val="000000" w:themeColor="text1"/>
    </w:rPr>
    <w:tblPr>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Pr>
      <w:color w:val="000000" w:themeColor="text1"/>
    </w:rPr>
    <w:tblPr>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qFormat/>
    <w:rPr>
      <w:color w:val="000000" w:themeColor="text1"/>
    </w:rPr>
    <w:tblPr>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qFormat/>
    <w:rPr>
      <w:color w:val="000000" w:themeColor="text1"/>
    </w:rPr>
    <w:tblPr>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Pr>
      <w:color w:val="000000" w:themeColor="text1"/>
    </w:rPr>
    <w:tblPr>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Pr>
      <w:color w:val="000000" w:themeColor="text1"/>
    </w:rPr>
    <w:tblPr>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qFormat/>
    <w:rPr>
      <w:color w:val="000000" w:themeColor="text1"/>
    </w:rPr>
    <w:tblPr>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qFormat/>
    <w:rPr>
      <w:color w:val="000000" w:themeColor="text1"/>
    </w:rPr>
    <w:tblPr>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qFormat/>
    <w:rPr>
      <w:color w:val="000000" w:themeColor="text1"/>
    </w:rPr>
    <w:tblPr>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qFormat/>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themeColor="hyperlink"/>
      <w:u w:val="singl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qFormat/>
  </w:style>
  <w:style w:type="character" w:customStyle="1" w:styleId="BodyText2Char">
    <w:name w:val="Body Text 2 Char"/>
    <w:basedOn w:val="DefaultParagraphFont"/>
    <w:link w:val="BodyText2"/>
    <w:uiPriority w:val="99"/>
    <w:qFormat/>
  </w:style>
  <w:style w:type="character" w:customStyle="1" w:styleId="BodyText3Char">
    <w:name w:val="Body Text 3 Char"/>
    <w:basedOn w:val="DefaultParagraphFont"/>
    <w:link w:val="BodyText3"/>
    <w:uiPriority w:val="99"/>
    <w:qFormat/>
    <w:rPr>
      <w:sz w:val="16"/>
      <w:szCs w:val="16"/>
    </w:rPr>
  </w:style>
  <w:style w:type="character" w:customStyle="1" w:styleId="MacroTextChar">
    <w:name w:val="Macro Text Char"/>
    <w:basedOn w:val="DefaultParagraphFont"/>
    <w:link w:val="MacroText"/>
    <w:uiPriority w:val="99"/>
    <w:qFormat/>
    <w:rPr>
      <w:rFonts w:ascii="Courier" w:hAnsi="Courier"/>
      <w:sz w:val="20"/>
      <w:szCs w:val="20"/>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i/>
      <w:i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qFormat/>
    <w:rPr>
      <w:b/>
      <w:bCs/>
      <w:i/>
      <w:iCs/>
      <w:color w:val="4F81BD" w:themeColor="accent1"/>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semiHidden/>
    <w:unhideWhenUsed/>
    <w:qFormat/>
    <w:pPr>
      <w:outlineLvl w:val="9"/>
    </w:pPr>
  </w:style>
  <w:style w:type="paragraph" w:customStyle="1" w:styleId="a">
    <w:name w:val="바탕글"/>
    <w:qFormat/>
    <w:pPr>
      <w:widowControl w:val="0"/>
      <w:wordWrap w:val="0"/>
      <w:autoSpaceDE w:val="0"/>
      <w:autoSpaceDN w:val="0"/>
      <w:adjustRightInd w:val="0"/>
      <w:spacing w:line="277" w:lineRule="auto"/>
      <w:jc w:val="both"/>
    </w:pPr>
    <w:rPr>
      <w:rFonts w:ascii="BatangChe" w:eastAsia="BatangChe"/>
      <w:color w:val="000000"/>
      <w:lang w:eastAsia="ko-KR"/>
    </w:rPr>
  </w:style>
  <w:style w:type="paragraph" w:customStyle="1" w:styleId="Bibliography2">
    <w:name w:val="Bibliography2"/>
    <w:basedOn w:val="Normal"/>
    <w:next w:val="Normal"/>
    <w:uiPriority w:val="37"/>
    <w:unhideWhenUsed/>
    <w:qFormat/>
    <w:pPr>
      <w:spacing w:after="240" w:line="240" w:lineRule="auto"/>
      <w:ind w:left="720" w:hanging="720"/>
    </w:pPr>
  </w:style>
  <w:style w:type="paragraph" w:customStyle="1" w:styleId="pre-body">
    <w:name w:val="pre-body"/>
    <w:basedOn w:val="Normal"/>
    <w:qFormat/>
    <w:pPr>
      <w:spacing w:after="120" w:line="480" w:lineRule="auto"/>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F0B0D-9C0B-429D-A963-EFFCA4BF6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5035</Words>
  <Characters>28706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hp</cp:lastModifiedBy>
  <cp:revision>2</cp:revision>
  <dcterms:created xsi:type="dcterms:W3CDTF">2025-06-19T15:01:00Z</dcterms:created>
  <dcterms:modified xsi:type="dcterms:W3CDTF">2025-06-19T15:01:00Z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eyJoZGlkIjoiNmUwYWZhNDliZmY2NjExNjVmMzVmZTc5NzRiNzJlZjAiLCJ1c2VySWQiOiIyMjYzOTkwOTEifQ==</vt:lpwstr>
  </property>
  <property fmtid="{D5CDD505-2E9C-101B-9397-08002B2CF9AE}" pid="3" name="KSOProductBuildVer">
    <vt:lpwstr>2052-12.1.0.21541</vt:lpwstr>
  </property>
  <property fmtid="{D5CDD505-2E9C-101B-9397-08002B2CF9AE}" pid="4" name="ICV">
    <vt:lpwstr>66487284D76445D09BBA407A934A71E1_13</vt:lpwstr>
  </property>
</Properties>
</file>