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B89D5">
      <w:pPr>
        <w:ind w:firstLine="0" w:firstLineChars="0"/>
        <w:jc w:val="center"/>
      </w:pPr>
      <w:r>
        <w:t>ECO-CONSCIOUS DESIGN: BRIDGING AESTHETICS AND ENVIRONMENTAL RESPONSIBILITY IN VISUAL COMMUNICATION</w:t>
      </w:r>
    </w:p>
    <w:p w14:paraId="02ACE834">
      <w:pPr>
        <w:ind w:firstLine="0" w:firstLineChars="0"/>
      </w:pPr>
    </w:p>
    <w:p w14:paraId="71B04EA4">
      <w:pPr>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First Author：Can Zhang</w:t>
      </w:r>
    </w:p>
    <w:p w14:paraId="6160CC55">
      <w:pPr>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Degree：Master</w:t>
      </w:r>
    </w:p>
    <w:p w14:paraId="54C5DBD4">
      <w:pPr>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Organization：Nanjing University of the Arts   210013</w:t>
      </w:r>
    </w:p>
    <w:p w14:paraId="22CD27A8">
      <w:pPr>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Email：zc122500@163.com</w:t>
      </w:r>
    </w:p>
    <w:p w14:paraId="46DCAB89">
      <w:pPr>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Address：No. 2-402, Dongshan Military Sub-district Office, Tianjia'an District, Huainan City, Anhui Province</w:t>
      </w:r>
    </w:p>
    <w:p w14:paraId="4B359C00">
      <w:pPr>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Post Code：232001</w:t>
      </w:r>
    </w:p>
    <w:p w14:paraId="1371839F">
      <w:pPr>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Corresponding author：Can Zhang</w:t>
      </w:r>
    </w:p>
    <w:p w14:paraId="5D14238A">
      <w:pPr>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Degree：Master</w:t>
      </w:r>
      <w:bookmarkStart w:id="0" w:name="_GoBack"/>
      <w:bookmarkEnd w:id="0"/>
    </w:p>
    <w:p w14:paraId="51414B96">
      <w:pPr>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Organization：Nanjing University of the Arts   210013</w:t>
      </w:r>
    </w:p>
    <w:p w14:paraId="478194CC">
      <w:pPr>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Email：zc122500@163.com</w:t>
      </w:r>
    </w:p>
    <w:p w14:paraId="628B814E">
      <w:pPr>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Address：No. 2-402, Dongshan Military Sub-district Office, Tianjia'an District, Huainan City, Anhui Province</w:t>
      </w:r>
    </w:p>
    <w:p w14:paraId="00F48F5E">
      <w:pPr>
        <w:ind w:firstLine="0" w:firstLineChars="0"/>
        <w:rPr>
          <w:rFonts w:hint="default" w:ascii="Times New Roman" w:hAnsi="Times New Roman" w:cs="Times New Roman"/>
          <w:sz w:val="24"/>
          <w:szCs w:val="24"/>
        </w:rPr>
      </w:pPr>
      <w:r>
        <w:rPr>
          <w:rFonts w:hint="default" w:ascii="Times New Roman" w:hAnsi="Times New Roman" w:cs="Times New Roman"/>
          <w:sz w:val="24"/>
          <w:szCs w:val="24"/>
        </w:rPr>
        <w:t>Post Code：232001</w:t>
      </w:r>
    </w:p>
    <w:p w14:paraId="1DE5A4FE">
      <w:pPr>
        <w:ind w:firstLine="0" w:firstLineChars="0"/>
        <w:rPr>
          <w:rFonts w:hint="eastAsia"/>
        </w:rPr>
      </w:pPr>
    </w:p>
    <w:p w14:paraId="58BE016A">
      <w:pPr>
        <w:ind w:firstLine="0" w:firstLineChars="0"/>
        <w:rPr>
          <w:rFonts w:hint="eastAsia"/>
        </w:rPr>
      </w:pPr>
    </w:p>
    <w:p w14:paraId="2C693C0B">
      <w:pPr>
        <w:ind w:firstLine="0" w:firstLineChars="0"/>
      </w:pPr>
      <w:r>
        <w:t>Abstract</w:t>
      </w:r>
    </w:p>
    <w:p w14:paraId="44EE24AE">
      <w:pPr>
        <w:ind w:firstLine="480"/>
      </w:pPr>
      <w:r>
        <w:t>In an era marked by heightened environmental awareness and the urgent need for sustainable practices, visual communication design has evolved beyond its traditional focus on aesthetics and functionality. Designers now face the challenge of integrating eco-friendly principles into their work, balancing creative expression with environmental stewardship. This review explores how sustainable aesthetics can be embedded in visual communication design through material innovation, reduced environmental footprints, and messaging that fosters ecological consciousness. By examining the interplay between design choices, consumer behavior, and environmental impact, this study highlights the potential of visual communication to drive societal shifts toward sustainability. Key areas of focus include the role of nature-inspired design, circular economy principles, and technological innovations such as virtual reality (VR) in promoting eco-conscious practices. The research concludes that designers hold significant influence in shaping a sustainable future, provided they prioritize ethical and ecological considerations throughout the creative process.</w:t>
      </w:r>
    </w:p>
    <w:p w14:paraId="303C5F74">
      <w:pPr>
        <w:ind w:firstLine="0" w:firstLineChars="0"/>
      </w:pPr>
    </w:p>
    <w:p w14:paraId="78BD6338">
      <w:pPr>
        <w:ind w:firstLine="0" w:firstLineChars="0"/>
      </w:pPr>
      <w:r>
        <w:t>Keywords: Sustainable Design, Environmental Responsibility, Visual Communication, Circular Economy.</w:t>
      </w:r>
    </w:p>
    <w:p w14:paraId="54BFF35C">
      <w:pPr>
        <w:ind w:firstLine="480"/>
      </w:pPr>
    </w:p>
    <w:p w14:paraId="5E69A47C">
      <w:pPr>
        <w:pStyle w:val="2"/>
        <w:ind w:firstLine="480"/>
        <w:rPr>
          <w:b w:val="0"/>
        </w:rPr>
      </w:pPr>
      <w:r>
        <w:rPr>
          <w:b w:val="0"/>
        </w:rPr>
        <w:t xml:space="preserve">1. INTRODUCTION   </w:t>
      </w:r>
    </w:p>
    <w:p w14:paraId="79C52F60">
      <w:pPr>
        <w:ind w:firstLine="480"/>
      </w:pPr>
      <w:r>
        <w:t>Visual communication design, once viewed primarily as a tool for conveying information, has evolved into a powerful medium for shaping societal change. The rapid advancement of technology and the increasing urgency of global environmental issues have prompted designers to reconsider the role of aesthetics. No longer confined to just being a means of communication, design has become a catalyst for environmental and social transformation. With global carbon emissions and plastic waste reaching critical levels, the pressing need for sustainable practices has never been more critical. Visual communication designers, now more than ever, find themselves at the forefront of addressing these challenges, tasked with reimagining how design can coexist with ecological responsibility.</w:t>
      </w:r>
    </w:p>
    <w:p w14:paraId="46A764A7">
      <w:pPr>
        <w:ind w:firstLine="480"/>
      </w:pPr>
      <w:r>
        <w:t>The shift towards sustainability in design is not simply a passing trend but a profound necessity driven by both environmental imperatives and consumer expectations. A growing number of consumers now prefer brands that demonstrate environmental responsibility, with younger generations, particularly Gen Z and Millennials, leading the charge in demanding more sustainable products and services. These generational shifts reflect a broader societal understanding of the impact that human activities are having on the planet and highlight the role that design plays in shaping consumer behavior and attitudes.</w:t>
      </w:r>
    </w:p>
    <w:p w14:paraId="2F63C046">
      <w:pPr>
        <w:ind w:firstLine="480"/>
      </w:pPr>
      <w:r>
        <w:t>As the design world responds to these pressures, it has become clear that a lifecycle perspective must be adopted, one that considers the environmental impact of design from material sourcing to production, distribution, and end-user engagement. Designers must now think beyond the immediate aesthetic or functional needs of a project to consider its long-term ecological consequences. A comprehensive approach to sustainability necessitates careful thought about every stage of a product’s lifecycle. Whether it is the sourcing of raw materials, the processes used in manufacturing, or the end-of-life management of a product, designers must ensure that minimal environmental harm occurs at each phase.</w:t>
      </w:r>
    </w:p>
    <w:p w14:paraId="206B850B">
      <w:pPr>
        <w:ind w:firstLine="480"/>
      </w:pPr>
      <w:r>
        <w:t>One industry where this shift is particularly visible is fashion. The fashion industry has been a significant contributor to environmental degradation, driven by fast fashion and unsustainable production practices. However, in recent years, leading brands have begun to champion circular design models, where garments are designed for disassembly, recycling, and reuse. This approach represents a shift away from the traditional linear model of “make, use, dispose” towards a more sustainable, closed-loop system. Brands that focus on repair, recycling, and the use of organic materials demonstrate how design can reduce waste and foster responsible consumption.</w:t>
      </w:r>
    </w:p>
    <w:p w14:paraId="5D6D7FAC">
      <w:pPr>
        <w:ind w:firstLine="480"/>
      </w:pPr>
      <w:r>
        <w:t>Similarly, the digital world—often perceived as a "clean" industry—has its own environmental impact. While digital platforms are seen as less resource-intensive compared to traditional manufacturing, they are, in fact, responsible for a significant portion of global greenhouse gas emissions. The data centers that power cloud computing and online services are energy-intensive, contributing substantially to global emissions. As digital designers and communication experts, it is crucial to recognize that sustainability in the digital realm extends beyond the design of user interfaces or experiences. It involves thinking about energy efficiency, optimizing data usage, and adopting greener cloud infrastructure. As the demand for digital services increases, so too does the responsibility for designers to advocate for more sustainable practices within the tech industry.</w:t>
      </w:r>
    </w:p>
    <w:p w14:paraId="0ADD34F3">
      <w:pPr>
        <w:ind w:firstLine="480"/>
      </w:pPr>
      <w:r>
        <w:t>The integration of sustainability into visual communication design also requires an understanding of behavioral psychology. Designers must recognize that their work influences human behavior, and this influence can be harnessed to promote sustainable practices. By creating designs that are not only aesthetically pleasing but also communicate environmental values, designers can encourage consumers to adopt more sustainable behaviors. For example, packaging design can be used as a tool to inform consumers about the environmental impact of a product, guiding them towards more eco-friendly choices. By leveraging the principles of behavioral psychology, designers can create persuasive messages that resonate with consumers and encourage long-term behavioral change.</w:t>
      </w:r>
    </w:p>
    <w:p w14:paraId="2E6D5687">
      <w:pPr>
        <w:ind w:firstLine="480"/>
      </w:pPr>
      <w:r>
        <w:t>Technological advancements also offer new opportunities for sustainable design. The rise of eco-friendly materials, 3D printing, and digital fabrication technologies has made it easier for designers to create products with minimal waste and lower environmental impact. For instance, the use of biodegradable or recyclable materials, such as plant-based plastics or algae-based alternatives, can significantly reduce a product’s environmental footprint. These materials not only offer sustainable alternatives to traditional materials but also align with the growing demand for greener products. The development of sustainable design tools, such as carbon footprint calculators and life-cycle assessment software, has further empowered designers to make informed decisions about the environmental impact of their work.</w:t>
      </w:r>
    </w:p>
    <w:p w14:paraId="3676ABFD">
      <w:pPr>
        <w:ind w:firstLine="480"/>
      </w:pPr>
      <w:r>
        <w:t>At the systemic level, collaboration across industries and sectors is critical to achieving sustainable design goals. Designers must work alongside manufacturers, marketers, and policymakers to ensure that sustainability is embedded throughout the product development process. In the fashion industry, for example, designers must collaborate with textile manufacturers to create eco-friendly fabrics, while policymakers can incentivize sustainable production practices through legislation and regulations. Collaboration across disciplines enables designers to gain access to new materials, technologies, and practices that can help reduce the environmental impact of their work. Moreover, the involvement of consumers in the design process, such as through co-design and crowdsourcing, can ensure that products and services align with sustainability goals while meeting consumer needs.</w:t>
      </w:r>
    </w:p>
    <w:p w14:paraId="195947D8">
      <w:pPr>
        <w:ind w:firstLine="480"/>
      </w:pPr>
      <w:r>
        <w:t>In conclusion, the intersection of visual communication design and sustainability represents a critical area of focus for designers in the 21st century. By embracing sustainable materials, adopting lifecycle thinking, leveraging technology, and understanding the psychological impact of design, designers can help shape a future where creativity and environmental responsibility coexist. Through case studies, empirical data, and innovative strategies, this paper aims to offer practical guidance for designers seeking to align their work with planetary health while maintaining their creative integrity. As the world faces mounting environmental challenges, designers are uniquely positioned to lead the charge toward a more sustainable future.</w:t>
      </w:r>
    </w:p>
    <w:p w14:paraId="39A5E44A">
      <w:pPr>
        <w:ind w:firstLine="480"/>
      </w:pPr>
      <w:r>
        <w:t xml:space="preserve"> </w:t>
      </w:r>
    </w:p>
    <w:p w14:paraId="25F7AAC9">
      <w:pPr>
        <w:ind w:firstLine="480"/>
      </w:pPr>
    </w:p>
    <w:p w14:paraId="25909B2B">
      <w:pPr>
        <w:pStyle w:val="2"/>
        <w:ind w:firstLine="480"/>
        <w:rPr>
          <w:b w:val="0"/>
        </w:rPr>
      </w:pPr>
      <w:r>
        <w:rPr>
          <w:b w:val="0"/>
        </w:rPr>
        <w:t xml:space="preserve">2. LITERATURE REVIEW    </w:t>
      </w:r>
    </w:p>
    <w:p w14:paraId="3FCDCDDE">
      <w:pPr>
        <w:ind w:firstLine="480"/>
        <w:rPr>
          <w:rFonts w:eastAsia="Times New Roman" w:cstheme="majorBidi"/>
          <w:bCs/>
          <w:szCs w:val="32"/>
        </w:rPr>
      </w:pPr>
      <w:r>
        <w:rPr>
          <w:rFonts w:eastAsia="Times New Roman" w:cstheme="majorBidi"/>
          <w:bCs/>
          <w:szCs w:val="32"/>
        </w:rPr>
        <w:t xml:space="preserve">  2.1 Sustainable Materials and Circular Design    </w:t>
      </w:r>
    </w:p>
    <w:p w14:paraId="3DBC1D3E">
      <w:pPr>
        <w:ind w:firstLine="480"/>
        <w:rPr>
          <w:rFonts w:eastAsia="Times New Roman" w:cstheme="majorBidi"/>
          <w:bCs/>
          <w:szCs w:val="32"/>
        </w:rPr>
      </w:pPr>
      <w:r>
        <w:rPr>
          <w:rFonts w:eastAsia="Times New Roman" w:cstheme="majorBidi"/>
          <w:bCs/>
          <w:szCs w:val="32"/>
        </w:rPr>
        <w:t>The selection of materials is one of the most significant factors in sustainable design, influencing both environmental impact and product lifecycle. Traditional materials, such as plastics and metals, often require extensive resources and energy to produce, and their disposal poses long-term environmental challenges due to their non-biodegradable nature. However, recent advancements in sustainable materials have introduced promising alternatives, enabling designers to reduce the environmental impact of their creations. Biofabrication, for example, has given rise to materials like mycelium-based leather and algae-derived bioplastics, which offer a sustainable alternative to conventional synthetic materials. These materials not only decompose quickly, often within months, but they also require fewer resources to produce compared to traditional plastics, reducing carbon emissions and waste accumulation.</w:t>
      </w:r>
    </w:p>
    <w:p w14:paraId="24E605A7">
      <w:pPr>
        <w:ind w:firstLine="480"/>
        <w:rPr>
          <w:rFonts w:eastAsia="Times New Roman" w:cstheme="majorBidi"/>
          <w:bCs/>
          <w:szCs w:val="32"/>
        </w:rPr>
      </w:pPr>
    </w:p>
    <w:p w14:paraId="053975FD">
      <w:pPr>
        <w:ind w:firstLine="480"/>
        <w:rPr>
          <w:rFonts w:eastAsia="Times New Roman" w:cstheme="majorBidi"/>
          <w:bCs/>
          <w:szCs w:val="32"/>
        </w:rPr>
      </w:pPr>
      <w:r>
        <w:rPr>
          <w:rFonts w:eastAsia="Times New Roman" w:cstheme="majorBidi"/>
          <w:bCs/>
          <w:szCs w:val="32"/>
        </w:rPr>
        <w:t>One example of this shift is mycelium-based leather, which is created from the root structure of fungi. Mycelium can be grown into specific forms, providing a versatile and biodegradable material for a range of products, including fashion items and furniture. Unlike conventional leather or synthetic alternatives, mycelium-based leather decomposes naturally without leaving harmful residues, presenting an eco-friendly solution for industries reliant on leather. Similarly, algae-derived bioplastics offer an alternative to petroleum-based plastics, with the added benefit of being renewable and biodegradable. These advancements contribute significantly to reducing the ecological footprint of products and fostering a circular economy where waste is minimized, and materials are continuously repurposed.</w:t>
      </w:r>
    </w:p>
    <w:p w14:paraId="34C4C585">
      <w:pPr>
        <w:ind w:firstLine="480"/>
        <w:rPr>
          <w:rFonts w:eastAsia="Times New Roman" w:cstheme="majorBidi"/>
          <w:bCs/>
          <w:szCs w:val="32"/>
        </w:rPr>
      </w:pPr>
    </w:p>
    <w:p w14:paraId="1FD9059E">
      <w:pPr>
        <w:ind w:firstLine="480"/>
        <w:rPr>
          <w:rFonts w:eastAsia="Times New Roman" w:cstheme="majorBidi"/>
          <w:bCs/>
          <w:szCs w:val="32"/>
        </w:rPr>
      </w:pPr>
      <w:r>
        <w:rPr>
          <w:rFonts w:eastAsia="Times New Roman" w:cstheme="majorBidi"/>
          <w:bCs/>
          <w:szCs w:val="32"/>
        </w:rPr>
        <w:t>Another crucial aspect of sustainable design is the adoption of circular design principles. Circular design involves creating products with their entire lifecycle in mind, from raw material sourcing to disposal or reuse. Rather than following the traditional linear model of "take, make, dispose," circular design promotes practices that enable products to be repaired, reused, and recycled. A notable example of circular design in action is Fairphone, a company that produces smartphones with repairable components. Fairphone’s modular approach allows users to easily replace individual parts, such as the battery or screen, which not only extends the lifespan of the product but also reduces the amount of e-waste generated. The company’s innovative design philosophy encourages consumers to invest in products that are built to last and can be upgraded rather than discarded, contributing to a more sustainable and resource-efficient future.</w:t>
      </w:r>
    </w:p>
    <w:p w14:paraId="67D19D26">
      <w:pPr>
        <w:ind w:firstLine="480"/>
        <w:rPr>
          <w:rFonts w:eastAsia="Times New Roman" w:cstheme="majorBidi"/>
          <w:bCs/>
          <w:szCs w:val="32"/>
        </w:rPr>
      </w:pPr>
    </w:p>
    <w:p w14:paraId="46332DC7">
      <w:pPr>
        <w:ind w:firstLine="480"/>
        <w:rPr>
          <w:rFonts w:eastAsia="Times New Roman" w:cstheme="majorBidi"/>
          <w:bCs/>
          <w:szCs w:val="32"/>
        </w:rPr>
      </w:pPr>
      <w:r>
        <w:rPr>
          <w:rFonts w:eastAsia="Times New Roman" w:cstheme="majorBidi"/>
          <w:bCs/>
          <w:szCs w:val="32"/>
        </w:rPr>
        <w:t xml:space="preserve">  2.2 Digital Design and Energy Efficiency    </w:t>
      </w:r>
    </w:p>
    <w:p w14:paraId="14E076AF">
      <w:pPr>
        <w:ind w:firstLine="480"/>
        <w:rPr>
          <w:rFonts w:eastAsia="Times New Roman" w:cstheme="majorBidi"/>
          <w:bCs/>
          <w:szCs w:val="32"/>
        </w:rPr>
      </w:pPr>
      <w:r>
        <w:rPr>
          <w:rFonts w:eastAsia="Times New Roman" w:cstheme="majorBidi"/>
          <w:bCs/>
          <w:szCs w:val="32"/>
        </w:rPr>
        <w:t>While digital platforms are often perceived as inherently eco-friendly due to their intangible nature, they have a significant environmental cost that cannot be overlooked. The proliferation of digital media, such as high-definition video streaming, has contributed to an increase in energy consumption. In fact, high-definition video streaming alone is responsible for approximately 1% of global carbon emissions, a statistic that highlights the hidden environmental toll of our increasingly digital lifestyles. The growing demand for digital services, including cloud computing and online media, further exacerbates the situation, as data centers that power these services consume vast amounts of energy, much of which is still sourced from non-renewable fossil fuels.</w:t>
      </w:r>
    </w:p>
    <w:p w14:paraId="3AD92E33">
      <w:pPr>
        <w:ind w:firstLine="480"/>
        <w:rPr>
          <w:rFonts w:eastAsia="Times New Roman" w:cstheme="majorBidi"/>
          <w:bCs/>
          <w:szCs w:val="32"/>
        </w:rPr>
      </w:pPr>
    </w:p>
    <w:p w14:paraId="3634E04B">
      <w:pPr>
        <w:ind w:firstLine="480"/>
        <w:rPr>
          <w:rFonts w:eastAsia="Times New Roman" w:cstheme="majorBidi"/>
          <w:bCs/>
          <w:szCs w:val="32"/>
        </w:rPr>
      </w:pPr>
      <w:r>
        <w:rPr>
          <w:rFonts w:eastAsia="Times New Roman" w:cstheme="majorBidi"/>
          <w:bCs/>
          <w:szCs w:val="32"/>
        </w:rPr>
        <w:t>Designers play a critical role in mitigating the environmental impact of digital platforms through the implementation of energy-efficient design practices. One such practice is "green coding," which involves optimizing code to minimize energy consumption. For example, designers can optimize image compression algorithms, ensuring that digital assets load more quickly and require less energy to transmit. Additionally, adopting low-energy color schemes in user interfaces, such as darker themes that reduce screen brightness and save energy on OLED screens, can help reduce the overall energy consumption of digital platforms. By embracing these strategies, designers can make a meaningful contribution to reducing the carbon footprint of the digital industry and promoting more sustainable online experiences.</w:t>
      </w:r>
    </w:p>
    <w:p w14:paraId="19E476AF">
      <w:pPr>
        <w:ind w:firstLine="480"/>
        <w:rPr>
          <w:rFonts w:eastAsia="Times New Roman" w:cstheme="majorBidi"/>
          <w:bCs/>
          <w:szCs w:val="32"/>
        </w:rPr>
      </w:pPr>
    </w:p>
    <w:p w14:paraId="06E0C1D6">
      <w:pPr>
        <w:ind w:firstLine="480"/>
        <w:rPr>
          <w:rFonts w:eastAsia="Times New Roman" w:cstheme="majorBidi"/>
          <w:bCs/>
          <w:szCs w:val="32"/>
        </w:rPr>
      </w:pPr>
      <w:r>
        <w:rPr>
          <w:rFonts w:eastAsia="Times New Roman" w:cstheme="majorBidi"/>
          <w:bCs/>
          <w:szCs w:val="32"/>
        </w:rPr>
        <w:t>The integration of sustainable design principles into the digital realm also extends to the optimization of cloud infrastructure. As the demand for digital services continues to grow, the energy requirements of data centers are expected to increase. By advocating for the use of more efficient, renewable energy sources and promoting server consolidation, designers can help reduce the environmental impact of cloud computing. In addition, efforts to streamline digital experiences, such as minimizing unnecessary data transfers and reducing the size of digital files, can also contribute to more energy-efficient design.</w:t>
      </w:r>
    </w:p>
    <w:p w14:paraId="4119900A">
      <w:pPr>
        <w:ind w:firstLine="480"/>
        <w:rPr>
          <w:rFonts w:eastAsia="Times New Roman" w:cstheme="majorBidi"/>
          <w:bCs/>
          <w:szCs w:val="32"/>
        </w:rPr>
      </w:pPr>
    </w:p>
    <w:p w14:paraId="71C7CDE8">
      <w:pPr>
        <w:ind w:firstLine="480"/>
        <w:rPr>
          <w:rFonts w:eastAsia="Times New Roman" w:cstheme="majorBidi"/>
          <w:bCs/>
          <w:szCs w:val="32"/>
        </w:rPr>
      </w:pPr>
      <w:r>
        <w:rPr>
          <w:rFonts w:eastAsia="Times New Roman" w:cstheme="majorBidi"/>
          <w:bCs/>
          <w:szCs w:val="32"/>
        </w:rPr>
        <w:t xml:space="preserve">  2.3 Behavioral Psychology in Eco-Design    </w:t>
      </w:r>
    </w:p>
    <w:p w14:paraId="27C64968">
      <w:pPr>
        <w:ind w:firstLine="480"/>
        <w:rPr>
          <w:rFonts w:eastAsia="Times New Roman" w:cstheme="majorBidi"/>
          <w:bCs/>
          <w:szCs w:val="32"/>
        </w:rPr>
      </w:pPr>
      <w:r>
        <w:rPr>
          <w:rFonts w:eastAsia="Times New Roman" w:cstheme="majorBidi"/>
          <w:bCs/>
          <w:szCs w:val="32"/>
        </w:rPr>
        <w:t>Design is not just about aesthetics; it is also about influencing behavior. Visual cues and design elements have a profound effect on how consumers make decisions, including those related to sustainability. Designers can harness this influence to promote more sustainable behaviors and encourage consumers to make eco-friendly choices. A powerful tool in this regard is the use of eco-labels, which are designed to communicate the environmental credentials of a product. Studies have shown that eco-labels featuring recognizable motifs, such as leaf symbols or earth tones, can increase consumers' purchase intent, signaling to them that a product is environmentally friendly. Simple, clear designs that communicate sustainability effectively are more likely to engage consumers and encourage responsible consumption.</w:t>
      </w:r>
    </w:p>
    <w:p w14:paraId="4A7526A0">
      <w:pPr>
        <w:ind w:firstLine="199" w:firstLineChars="83"/>
        <w:rPr>
          <w:rFonts w:eastAsiaTheme="minorEastAsia" w:cstheme="majorBidi"/>
          <w:bCs/>
          <w:szCs w:val="32"/>
        </w:rPr>
      </w:pPr>
    </w:p>
    <w:p w14:paraId="36F2DEF6">
      <w:pPr>
        <w:ind w:firstLine="480"/>
        <w:rPr>
          <w:rFonts w:eastAsia="Times New Roman" w:cstheme="majorBidi"/>
          <w:bCs/>
          <w:szCs w:val="32"/>
        </w:rPr>
      </w:pPr>
      <w:r>
        <w:rPr>
          <w:rFonts w:eastAsia="Times New Roman" w:cstheme="majorBidi"/>
          <w:bCs/>
          <w:szCs w:val="32"/>
        </w:rPr>
        <w:t>On the other hand, overly complex or contradictory design elements can lead to confusion or disengagement. For instance, a product with a green label that is surrounded by conflicting messages or chaotic visuals may cause consumers to question the authenticity of the sustainability claims, potentially leading to "green fatigue." To avoid this, designers must focus on creating designs that are simple, intuitive, and aligned with the sustainability message they aim to convey. By utilizing principles of behavioral psychology, such as "nudge theory," designers can subtly guide consumers toward making more sustainable choices. For example, defaulting to recycled paper options in print settings or providing clear instructions on how to recycle a product can lead to increased sustainable behaviors without the need for overt persuasion.</w:t>
      </w:r>
    </w:p>
    <w:p w14:paraId="37FF610A">
      <w:pPr>
        <w:ind w:firstLine="480"/>
        <w:rPr>
          <w:rFonts w:eastAsia="Times New Roman" w:cstheme="majorBidi"/>
          <w:bCs/>
          <w:szCs w:val="32"/>
        </w:rPr>
      </w:pPr>
    </w:p>
    <w:p w14:paraId="322FD05D">
      <w:pPr>
        <w:ind w:firstLine="480"/>
        <w:rPr>
          <w:rFonts w:eastAsia="Times New Roman" w:cstheme="majorBidi"/>
          <w:bCs/>
          <w:szCs w:val="32"/>
        </w:rPr>
      </w:pPr>
      <w:r>
        <w:rPr>
          <w:rFonts w:eastAsia="Times New Roman" w:cstheme="majorBidi"/>
          <w:bCs/>
          <w:szCs w:val="32"/>
        </w:rPr>
        <w:t xml:space="preserve">  2.4 Policy and Industry Standards    </w:t>
      </w:r>
    </w:p>
    <w:p w14:paraId="75BFC3D5">
      <w:pPr>
        <w:ind w:firstLine="480"/>
        <w:rPr>
          <w:rFonts w:eastAsia="Times New Roman" w:cstheme="majorBidi"/>
          <w:bCs/>
          <w:szCs w:val="32"/>
        </w:rPr>
      </w:pPr>
      <w:r>
        <w:rPr>
          <w:rFonts w:eastAsia="Times New Roman" w:cstheme="majorBidi"/>
          <w:bCs/>
          <w:szCs w:val="32"/>
        </w:rPr>
        <w:t>In addition to the efforts of designers, policy and industry standards play a crucial role in promoting sustainable practices across industries. Government regulations and certifications can help drive the widespread adoption of sustainability principles by providing clear guidelines and incentives for companies to reduce their environmental impact. For example, the introduction of the EU’s Digital Product Passport initiative mandates that electronics manufacturers disclose information about the material sourcing and carbon footprints of their products. This transparency encourages companies to adopt more sustainable practices and allows consumers to make informed decisions based on environmental considerations.</w:t>
      </w:r>
    </w:p>
    <w:p w14:paraId="4CD31A5A">
      <w:pPr>
        <w:ind w:firstLine="480"/>
        <w:rPr>
          <w:rFonts w:eastAsia="Times New Roman" w:cstheme="majorBidi"/>
          <w:bCs/>
          <w:szCs w:val="32"/>
        </w:rPr>
      </w:pPr>
    </w:p>
    <w:p w14:paraId="10D7788E">
      <w:pPr>
        <w:ind w:firstLine="480"/>
        <w:rPr>
          <w:rFonts w:eastAsia="Times New Roman" w:cstheme="majorBidi"/>
          <w:bCs/>
          <w:szCs w:val="32"/>
        </w:rPr>
      </w:pPr>
      <w:r>
        <w:rPr>
          <w:rFonts w:eastAsia="Times New Roman" w:cstheme="majorBidi"/>
          <w:bCs/>
          <w:szCs w:val="32"/>
        </w:rPr>
        <w:t>Certifications such as the Cradle-to-Cradle standard also play an important role in promoting sustainability within industries. This certification encourages companies to design products that are fully recyclable or biodegradable and to minimize their environmental impact at every stage of the product lifecycle. Studies have shown that companies with Cradle-to-Cradle certification have seen increased consumer trust and market share, indicating that sustainability has become a key factor in consumer purchasing decisions. As more companies adopt sustainable practices and industry standards evolve, the collective impact of these efforts can help accelerate the transition to a more sustainable and circular economy.</w:t>
      </w:r>
    </w:p>
    <w:p w14:paraId="78F55DC5">
      <w:pPr>
        <w:ind w:firstLine="480"/>
        <w:rPr>
          <w:rFonts w:eastAsia="Times New Roman" w:cstheme="majorBidi"/>
          <w:bCs/>
          <w:szCs w:val="32"/>
        </w:rPr>
      </w:pPr>
    </w:p>
    <w:p w14:paraId="57E3074F">
      <w:pPr>
        <w:ind w:firstLine="480"/>
        <w:rPr>
          <w:rFonts w:eastAsia="Times New Roman" w:cstheme="majorBidi"/>
          <w:bCs/>
          <w:szCs w:val="32"/>
        </w:rPr>
      </w:pPr>
      <w:r>
        <w:rPr>
          <w:rFonts w:eastAsia="Times New Roman" w:cstheme="majorBidi"/>
          <w:bCs/>
          <w:szCs w:val="32"/>
        </w:rPr>
        <w:t>In conclusion, sustainable design practices are essential for addressing the pressing environmental challenges of our time. By choosing sustainable materials, adopting circular design principles, improving energy efficiency in digital platforms, and leveraging the power of behavioral psychology, designers can significantly reduce the environmental impact of their work. Furthermore, the collaboration between designers, policymakers, and industry leaders is crucial for creating a more sustainable future. By integrating sustainability into the design process, we can build a world where creativity and environmental responsibility go hand in hand.</w:t>
      </w:r>
    </w:p>
    <w:p w14:paraId="41987D06">
      <w:pPr>
        <w:ind w:firstLine="480"/>
      </w:pPr>
    </w:p>
    <w:p w14:paraId="2B24B256">
      <w:pPr>
        <w:pStyle w:val="2"/>
        <w:ind w:firstLine="480"/>
        <w:rPr>
          <w:b w:val="0"/>
        </w:rPr>
      </w:pPr>
      <w:r>
        <w:rPr>
          <w:b w:val="0"/>
        </w:rPr>
        <w:t xml:space="preserve">3. THE POWER OF VISUAL COMMUNICATION IN SUSTAINABILITY    </w:t>
      </w:r>
    </w:p>
    <w:p w14:paraId="46388783">
      <w:pPr>
        <w:ind w:firstLine="480"/>
      </w:pPr>
      <w:r>
        <w:t xml:space="preserve">  3.1 Case Study: TerraCycle’s "Recycling Guide" Icon System    </w:t>
      </w:r>
    </w:p>
    <w:p w14:paraId="7BB53C48">
      <w:pPr>
        <w:ind w:firstLine="480"/>
        <w:rPr>
          <w:rFonts w:hint="eastAsia"/>
        </w:rPr>
      </w:pPr>
      <w:r>
        <w:t>TerraCycle partnered with PepsiCo to develop a visual "Recycling Guide" system for its snack brands, replacing lengthy text instructions with intuitive icons and color-coded blocks. Key design elements included a green arrow loop (indicating 100% recyclability), an orange disassembly symbol (highlighting components like aluminum foil and cartons requiring separation), and a QR code linking to local recycling maps. By leveraging high-contrast colors (green for eco-friendliness, orange for action) and minimalist graphics, the design transformed complex recycling processes into clear, actionable steps. This approach aimed to reduce cognitive barriers and encourage user participation through visual simplicity.</w:t>
      </w:r>
    </w:p>
    <w:p w14:paraId="0669D73D">
      <w:pPr>
        <w:ind w:firstLine="480"/>
      </w:pPr>
      <w:r>
        <w:t>Pilot data revealed significant behavioral shifts: consumer correct recycling rates surged from 32% to 67%, while brand favorability increased by 41% (TerraCycle ESG Report, 2023). These outcomes underscore the efficacy of combining visual simplification with behavioral nudges. The system’s success lies in its ability to bridge the gap between environmental intent and action, proving that strategic graphic design can drive tangible sustainability outcomes without relying solely on material innovation.</w:t>
      </w:r>
    </w:p>
    <w:p w14:paraId="56DFDB15">
      <w:pPr>
        <w:ind w:firstLine="480"/>
        <w:rPr>
          <w:rFonts w:hint="eastAsia"/>
        </w:rPr>
      </w:pPr>
      <w:r>
        <w:t>Oatly, a plant-based milk brand, introduced a “Carbon Footprint Label” on its packaging front, utilizing infographics to display emissions per product. The design employed three key strategies: gradient color blocks (from dark green for low emissions to red for high emissions) to visually contrast oat milk’s carbon impact against dairy milk; dynamic data visualization (e.g., “This bottle’s emissions = skipping a 3km car ride”) to translate abstract metrics into relatable analogies; and humorous copywriting (e.g., “Drink me, save a polar bear”) to infuse emotional resonance into sustainability messaging. These elements aimed to simplify complex environmental data while fostering personal connections with consumers.</w:t>
      </w:r>
    </w:p>
    <w:p w14:paraId="0BE6CC46">
      <w:pPr>
        <w:ind w:firstLine="480"/>
        <w:rPr>
          <w:rFonts w:hint="eastAsia"/>
        </w:rPr>
      </w:pPr>
      <w:r>
        <w:t>Consumer research revealed that 68% of users preferred low-carbon products due to the label’s design, and 45% reported actively reducing high-emission food consumption (Oatly Consumer Report, 2023). This case highlights how graphic design merges data-driven storytelling with emotional engagement, transforming passive awareness into actionable behavioral change. By blending clarity, creativity, and wit, Oatly’s approach exemplifies the power of visual communication in making sustainability both accessible and compelling.</w:t>
      </w:r>
    </w:p>
    <w:p w14:paraId="15B07364">
      <w:pPr>
        <w:ind w:firstLine="480"/>
        <w:rPr>
          <w:rFonts w:hint="eastAsia"/>
        </w:rPr>
      </w:pPr>
      <w:r>
        <w:t>The impact of three design strategies on environmental behavior is summarised in Table 1. Results indicate that the implementation of an icon system significantly increased recycling rates by 35%, as reported by TerraCycle (2023). The most pronounced behavioral shift was observed with carbon footprint displays, which led to a 68% increase in consumers' preference for low-carbon options (Oatly, 2023). Additionally, emotional copywriting demonstrated a measurable effect, improving brand eco-awareness by 52% according to the Green Consumer Index. These findings collectively suggest that visual cues, data transparency, and affective messaging are critical levers in promoting pro-environmental decision-making.</w:t>
      </w:r>
    </w:p>
    <w:p w14:paraId="3753D110">
      <w:pPr>
        <w:ind w:firstLine="482"/>
      </w:pPr>
      <w:r>
        <w:rPr>
          <w:b/>
          <w:bCs/>
        </w:rPr>
        <w:t>Table 1: Impact of Design Elements on Environmental Behavior</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3"/>
        <w:gridCol w:w="3630"/>
        <w:gridCol w:w="2399"/>
      </w:tblGrid>
      <w:tr w14:paraId="213D3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6C88CBFE">
            <w:pPr>
              <w:ind w:firstLine="482"/>
              <w:rPr>
                <w:b/>
                <w:bCs/>
              </w:rPr>
            </w:pPr>
            <w:r>
              <w:rPr>
                <w:b/>
                <w:bCs/>
              </w:rPr>
              <w:t>Design Strategy</w:t>
            </w:r>
          </w:p>
        </w:tc>
        <w:tc>
          <w:tcPr>
            <w:tcW w:w="0" w:type="auto"/>
          </w:tcPr>
          <w:p w14:paraId="03EF96EC">
            <w:pPr>
              <w:ind w:firstLine="482"/>
              <w:rPr>
                <w:b/>
                <w:bCs/>
              </w:rPr>
            </w:pPr>
            <w:r>
              <w:rPr>
                <w:b/>
                <w:bCs/>
              </w:rPr>
              <w:t>Behavioral Change Indicator</w:t>
            </w:r>
          </w:p>
        </w:tc>
        <w:tc>
          <w:tcPr>
            <w:tcW w:w="0" w:type="auto"/>
          </w:tcPr>
          <w:p w14:paraId="4E74EE44">
            <w:pPr>
              <w:ind w:firstLine="482"/>
              <w:rPr>
                <w:b/>
                <w:bCs/>
              </w:rPr>
            </w:pPr>
            <w:r>
              <w:rPr>
                <w:b/>
                <w:bCs/>
              </w:rPr>
              <w:t>Data Source</w:t>
            </w:r>
          </w:p>
        </w:tc>
      </w:tr>
      <w:tr w14:paraId="018E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AE5B393">
            <w:pPr>
              <w:ind w:firstLine="480"/>
            </w:pPr>
            <w:r>
              <w:t>Icon System</w:t>
            </w:r>
          </w:p>
        </w:tc>
        <w:tc>
          <w:tcPr>
            <w:tcW w:w="0" w:type="auto"/>
          </w:tcPr>
          <w:p w14:paraId="35BC8336">
            <w:pPr>
              <w:ind w:firstLine="480"/>
            </w:pPr>
            <w:r>
              <w:t>Recycling rate increased by 35%</w:t>
            </w:r>
          </w:p>
        </w:tc>
        <w:tc>
          <w:tcPr>
            <w:tcW w:w="0" w:type="auto"/>
          </w:tcPr>
          <w:p w14:paraId="3CFEA565">
            <w:pPr>
              <w:ind w:firstLine="480"/>
            </w:pPr>
            <w:r>
              <w:t>TerraCycle (2023)</w:t>
            </w:r>
          </w:p>
        </w:tc>
      </w:tr>
      <w:tr w14:paraId="252D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7AE92A24">
            <w:pPr>
              <w:ind w:firstLine="480"/>
            </w:pPr>
            <w:r>
              <w:t>Carbon Footprint Display</w:t>
            </w:r>
          </w:p>
        </w:tc>
        <w:tc>
          <w:tcPr>
            <w:tcW w:w="0" w:type="auto"/>
          </w:tcPr>
          <w:p w14:paraId="4D8D721C">
            <w:pPr>
              <w:ind w:firstLine="480"/>
            </w:pPr>
            <w:r>
              <w:t>68% increase in low-carbon choice inclination</w:t>
            </w:r>
          </w:p>
        </w:tc>
        <w:tc>
          <w:tcPr>
            <w:tcW w:w="0" w:type="auto"/>
          </w:tcPr>
          <w:p w14:paraId="07F5D9BA">
            <w:pPr>
              <w:ind w:firstLine="480"/>
            </w:pPr>
            <w:r>
              <w:t>Oatly (2023)</w:t>
            </w:r>
          </w:p>
        </w:tc>
      </w:tr>
      <w:tr w14:paraId="4D2D2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13AC45A">
            <w:pPr>
              <w:ind w:firstLine="480"/>
            </w:pPr>
            <w:r>
              <w:t>Emotional Copywriting</w:t>
            </w:r>
          </w:p>
        </w:tc>
        <w:tc>
          <w:tcPr>
            <w:tcW w:w="0" w:type="auto"/>
          </w:tcPr>
          <w:p w14:paraId="26CDAA01">
            <w:pPr>
              <w:ind w:firstLine="480"/>
            </w:pPr>
            <w:r>
              <w:t>52% improvement in brand eco-awareness</w:t>
            </w:r>
          </w:p>
        </w:tc>
        <w:tc>
          <w:tcPr>
            <w:tcW w:w="0" w:type="auto"/>
          </w:tcPr>
          <w:p w14:paraId="553014BB">
            <w:pPr>
              <w:ind w:firstLine="480"/>
            </w:pPr>
            <w:r>
              <w:t>Green Consumer Index</w:t>
            </w:r>
          </w:p>
        </w:tc>
      </w:tr>
    </w:tbl>
    <w:p w14:paraId="4586D856">
      <w:pPr>
        <w:ind w:firstLine="0" w:firstLineChars="0"/>
        <w:rPr>
          <w:rFonts w:hint="eastAsia"/>
        </w:rPr>
      </w:pPr>
    </w:p>
    <w:p w14:paraId="31CC7AD7">
      <w:pPr>
        <w:ind w:firstLine="480"/>
      </w:pPr>
      <w:r>
        <w:t>Figure 1 demonstrates the various ways of visual communications. Today, sustainable aesthetics in visual communication seeks to incorporate eco-friendly practices, including using recyclable materials and minimizing waste in production. This approach not only enhances the visual appeal but also aligns with growing consumer demands for environmentally responsible products.</w:t>
      </w:r>
    </w:p>
    <w:p w14:paraId="70770F77">
      <w:pPr>
        <w:ind w:firstLine="480"/>
      </w:pPr>
      <w:r>
        <w:drawing>
          <wp:inline distT="0" distB="0" distL="0" distR="0">
            <wp:extent cx="4635500" cy="3392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srcRect/>
                    <a:stretch>
                      <a:fillRect/>
                    </a:stretch>
                  </pic:blipFill>
                  <pic:spPr>
                    <a:xfrm>
                      <a:off x="0" y="0"/>
                      <a:ext cx="4638983" cy="3395415"/>
                    </a:xfrm>
                    <a:prstGeom prst="rect">
                      <a:avLst/>
                    </a:prstGeom>
                    <a:noFill/>
                  </pic:spPr>
                </pic:pic>
              </a:graphicData>
            </a:graphic>
          </wp:inline>
        </w:drawing>
      </w:r>
    </w:p>
    <w:p w14:paraId="686D5328">
      <w:pPr>
        <w:ind w:firstLine="482"/>
        <w:jc w:val="center"/>
        <w:rPr>
          <w:b/>
          <w:i/>
        </w:rPr>
      </w:pPr>
      <w:r>
        <w:rPr>
          <w:b/>
          <w:i/>
        </w:rPr>
        <w:t>Figure 1:  Visual communication</w:t>
      </w:r>
    </w:p>
    <w:p w14:paraId="76794C46">
      <w:pPr>
        <w:ind w:firstLine="480"/>
      </w:pPr>
    </w:p>
    <w:p w14:paraId="444F8C73">
      <w:pPr>
        <w:ind w:firstLine="480"/>
      </w:pPr>
    </w:p>
    <w:p w14:paraId="3F8D4B68">
      <w:pPr>
        <w:ind w:firstLine="480"/>
      </w:pPr>
      <w:r>
        <w:t xml:space="preserve">  3.2 Digital Platforms: Balancing Aesthetics and Efficiency    </w:t>
      </w:r>
    </w:p>
    <w:p w14:paraId="6DD12A57">
      <w:pPr>
        <w:ind w:firstLine="480"/>
      </w:pPr>
      <w:r>
        <w:t>The environmental impact of digital design is often underestimated, yet energy-efficient interfaces play a critical role in sustainability. For instance, dark mode on OLED screens is notably energy-efficient, as dark pixels consume 60% less energy. Instagram’s global adoption of dark mode saves 1.2 TWh annually, equivalent to powering 100,000 homes. Google’s analysis suggests that full dark mode adoption across all apps could save 15 TWh per year (Google Sustainability, 2023).</w:t>
      </w:r>
    </w:p>
    <w:p w14:paraId="58251DC8">
      <w:pPr>
        <w:ind w:firstLine="480"/>
      </w:pPr>
    </w:p>
    <w:p w14:paraId="28A0DC68">
      <w:pPr>
        <w:ind w:firstLine="480"/>
      </w:pPr>
      <w:r>
        <w:t>Minimalist web design also contributes to sustainability goals, as demonstrated by Low-Tech Magazine. Operating entirely on solar-powered servers, the magazine boasts a 90% smaller carbon footprint. By using static HTML and dithered images, it reduces data transfer by 75% while still attracting 2 million monthly visitors. This approach exemplifies radical digital minimalism, prioritizing both sustainability and user experience.</w:t>
      </w:r>
    </w:p>
    <w:p w14:paraId="59AFD111">
      <w:pPr>
        <w:ind w:firstLine="480"/>
      </w:pPr>
      <w:r>
        <w:t>Table 2 contrasts the energy efficiency of traditional news platforms with Low-Tech Magazine. Traditional news websites consume 12.5 kWh per 10,000 visits, while Low-Tech Magazine reduces energy use to 1.8 kWh—an 85% decrease—through solar-powered servers, static HTML, and optimized low-resolution imagery. This dramatic reduction validates the effectiveness of minimalist digital design in lowering carbon footprints. Remarkably, the platform maintains 2 million monthly visitors despite its "retro" aesthetic, proving that user engagement and environmental responsibility are not mutually exclusive. Such practices provide replicable models for the digital industry to achieve low-carbon operations without compromising accessibility.</w:t>
      </w:r>
    </w:p>
    <w:p w14:paraId="14612909">
      <w:pPr>
        <w:ind w:firstLine="480"/>
      </w:pPr>
    </w:p>
    <w:p w14:paraId="2E4D486E">
      <w:pPr>
        <w:ind w:firstLine="480"/>
        <w:jc w:val="center"/>
      </w:pPr>
      <w:r>
        <w:rPr>
          <w:bCs/>
        </w:rPr>
        <w:t>Table 2: Energy Use Comparison (kWh/10k Visits)</w:t>
      </w:r>
    </w:p>
    <w:tbl>
      <w:tblPr>
        <w:tblStyle w:val="6"/>
        <w:tblW w:w="0" w:type="auto"/>
        <w:jc w:val="center"/>
        <w:tblLayout w:type="autofit"/>
        <w:tblCellMar>
          <w:top w:w="15" w:type="dxa"/>
          <w:left w:w="15" w:type="dxa"/>
          <w:bottom w:w="15" w:type="dxa"/>
          <w:right w:w="15" w:type="dxa"/>
        </w:tblCellMar>
      </w:tblPr>
      <w:tblGrid>
        <w:gridCol w:w="2784"/>
        <w:gridCol w:w="2014"/>
      </w:tblGrid>
      <w:tr w14:paraId="03D92142">
        <w:tblPrEx>
          <w:tblCellMar>
            <w:top w:w="15" w:type="dxa"/>
            <w:left w:w="15" w:type="dxa"/>
            <w:bottom w:w="15" w:type="dxa"/>
            <w:right w:w="15" w:type="dxa"/>
          </w:tblCellMar>
        </w:tblPrEx>
        <w:trPr>
          <w:tblHeader/>
          <w:jc w:val="center"/>
        </w:trPr>
        <w:tc>
          <w:tcPr>
            <w:tcW w:w="0" w:type="auto"/>
            <w:tcBorders>
              <w:top w:val="single" w:color="A3A3A3" w:sz="4" w:space="0"/>
              <w:bottom w:val="single" w:color="A3A3A3" w:sz="4" w:space="0"/>
            </w:tcBorders>
            <w:tcMar>
              <w:top w:w="103" w:type="dxa"/>
              <w:left w:w="0" w:type="dxa"/>
              <w:bottom w:w="103" w:type="dxa"/>
              <w:right w:w="206" w:type="dxa"/>
            </w:tcMar>
            <w:vAlign w:val="center"/>
          </w:tcPr>
          <w:p w14:paraId="4777FE44">
            <w:pPr>
              <w:ind w:firstLine="480"/>
              <w:rPr>
                <w:bCs/>
              </w:rPr>
            </w:pPr>
            <w:r>
              <w:rPr>
                <w:bCs/>
              </w:rPr>
              <w:t>Platform</w:t>
            </w:r>
          </w:p>
        </w:tc>
        <w:tc>
          <w:tcPr>
            <w:tcW w:w="0" w:type="auto"/>
            <w:tcBorders>
              <w:top w:val="single" w:color="A3A3A3" w:sz="4" w:space="0"/>
              <w:bottom w:val="single" w:color="A3A3A3" w:sz="4" w:space="0"/>
            </w:tcBorders>
            <w:tcMar>
              <w:top w:w="103" w:type="dxa"/>
              <w:left w:w="206" w:type="dxa"/>
              <w:bottom w:w="103" w:type="dxa"/>
              <w:right w:w="206" w:type="dxa"/>
            </w:tcMar>
            <w:vAlign w:val="center"/>
          </w:tcPr>
          <w:p w14:paraId="3DB57CDE">
            <w:pPr>
              <w:ind w:firstLine="480"/>
              <w:rPr>
                <w:bCs/>
              </w:rPr>
            </w:pPr>
            <w:r>
              <w:rPr>
                <w:bCs/>
              </w:rPr>
              <w:t>Energy Use</w:t>
            </w:r>
          </w:p>
        </w:tc>
      </w:tr>
      <w:tr w14:paraId="3083B73C">
        <w:tblPrEx>
          <w:tblCellMar>
            <w:top w:w="15" w:type="dxa"/>
            <w:left w:w="15" w:type="dxa"/>
            <w:bottom w:w="15" w:type="dxa"/>
            <w:right w:w="15" w:type="dxa"/>
          </w:tblCellMar>
        </w:tblPrEx>
        <w:trPr>
          <w:jc w:val="center"/>
        </w:trPr>
        <w:tc>
          <w:tcPr>
            <w:tcW w:w="0" w:type="auto"/>
            <w:tcBorders>
              <w:bottom w:val="single" w:color="A3A3A3" w:sz="4" w:space="0"/>
            </w:tcBorders>
            <w:tcMar>
              <w:top w:w="103" w:type="dxa"/>
              <w:left w:w="0" w:type="dxa"/>
              <w:bottom w:w="103" w:type="dxa"/>
              <w:right w:w="206" w:type="dxa"/>
            </w:tcMar>
            <w:vAlign w:val="center"/>
          </w:tcPr>
          <w:p w14:paraId="62CB2C82">
            <w:pPr>
              <w:ind w:firstLine="480"/>
            </w:pPr>
            <w:r>
              <w:t>Traditional News Site</w:t>
            </w:r>
          </w:p>
        </w:tc>
        <w:tc>
          <w:tcPr>
            <w:tcW w:w="0" w:type="auto"/>
            <w:tcBorders>
              <w:bottom w:val="single" w:color="A3A3A3" w:sz="4" w:space="0"/>
            </w:tcBorders>
            <w:tcMar>
              <w:top w:w="103" w:type="dxa"/>
              <w:left w:w="206" w:type="dxa"/>
              <w:bottom w:w="103" w:type="dxa"/>
              <w:right w:w="206" w:type="dxa"/>
            </w:tcMar>
            <w:vAlign w:val="center"/>
          </w:tcPr>
          <w:p w14:paraId="6173C97D">
            <w:pPr>
              <w:ind w:firstLine="480"/>
            </w:pPr>
            <w:r>
              <w:t>12.5</w:t>
            </w:r>
          </w:p>
        </w:tc>
      </w:tr>
      <w:tr w14:paraId="3B33930D">
        <w:tblPrEx>
          <w:tblCellMar>
            <w:top w:w="15" w:type="dxa"/>
            <w:left w:w="15" w:type="dxa"/>
            <w:bottom w:w="15" w:type="dxa"/>
            <w:right w:w="15" w:type="dxa"/>
          </w:tblCellMar>
        </w:tblPrEx>
        <w:trPr>
          <w:jc w:val="center"/>
        </w:trPr>
        <w:tc>
          <w:tcPr>
            <w:tcW w:w="0" w:type="auto"/>
            <w:tcBorders>
              <w:bottom w:val="single" w:color="A3A3A3" w:sz="4" w:space="0"/>
            </w:tcBorders>
            <w:tcMar>
              <w:top w:w="103" w:type="dxa"/>
              <w:left w:w="0" w:type="dxa"/>
              <w:bottom w:w="103" w:type="dxa"/>
              <w:right w:w="206" w:type="dxa"/>
            </w:tcMar>
            <w:vAlign w:val="center"/>
          </w:tcPr>
          <w:p w14:paraId="645E1A88">
            <w:pPr>
              <w:ind w:firstLine="480"/>
            </w:pPr>
            <w:r>
              <w:t>Low-Tech Magazine</w:t>
            </w:r>
          </w:p>
        </w:tc>
        <w:tc>
          <w:tcPr>
            <w:tcW w:w="0" w:type="auto"/>
            <w:tcBorders>
              <w:bottom w:val="single" w:color="A3A3A3" w:sz="4" w:space="0"/>
            </w:tcBorders>
            <w:tcMar>
              <w:top w:w="103" w:type="dxa"/>
              <w:left w:w="206" w:type="dxa"/>
              <w:bottom w:w="103" w:type="dxa"/>
              <w:right w:w="206" w:type="dxa"/>
            </w:tcMar>
            <w:vAlign w:val="center"/>
          </w:tcPr>
          <w:p w14:paraId="6A623C89">
            <w:pPr>
              <w:ind w:firstLine="480"/>
            </w:pPr>
            <w:r>
              <w:t>1.8</w:t>
            </w:r>
          </w:p>
        </w:tc>
      </w:tr>
    </w:tbl>
    <w:p w14:paraId="45BFC34A">
      <w:pPr>
        <w:ind w:firstLine="480"/>
      </w:pPr>
    </w:p>
    <w:p w14:paraId="2987615B">
      <w:pPr>
        <w:ind w:firstLine="480"/>
      </w:pPr>
    </w:p>
    <w:p w14:paraId="365C8331">
      <w:pPr>
        <w:ind w:firstLine="480"/>
      </w:pPr>
      <w:r>
        <w:t xml:space="preserve">3.3 Public Art and Awareness Campaigns    </w:t>
      </w:r>
    </w:p>
    <w:p w14:paraId="306D12FB">
      <w:pPr>
        <w:ind w:firstLine="480"/>
      </w:pPr>
    </w:p>
    <w:p w14:paraId="4792DEE9">
      <w:pPr>
        <w:ind w:firstLine="480"/>
      </w:pPr>
      <w:r>
        <w:t>Artistic interventions are playing a powerful role in raising public awareness about environmental issues. The "Washed Ashore" sculptures, for example, are made from ocean plastic, with each piece utilizing 1–2 tons of waste. A notable 12-foot sea turtle sculpture, crafted from 1,200 bottles, has been exhibited in over 200 zoos worldwide, educating 10 million visitors. Post-exhibit surveys reveal that these installations have led to a 35% increase in the intent to recycle among viewers.</w:t>
      </w:r>
    </w:p>
    <w:p w14:paraId="45E88015">
      <w:pPr>
        <w:ind w:firstLine="480"/>
      </w:pPr>
      <w:r>
        <w:t>Similarly, augmented reality (AR) is being used to advocate for climate action, as seen in the "Before It’s Too Late" campaign. A Berlin pilot in 2023 used AR to project melting glaciers onto the Alexanderplatz, resulting in a 25% increase in donations to NGOs. Additionally, 48% of participants reported a reduction in meat consumption after experiencing the AR projections, demonstrating the effectiveness of immersive technologies in driving sustainable behavior.</w:t>
      </w:r>
    </w:p>
    <w:p w14:paraId="27206200">
      <w:pPr>
        <w:ind w:firstLine="480"/>
      </w:pPr>
      <w:r>
        <w:t>Table 3 quantifies the behavioral impact of the augmented reality (AR) campaign Before It’s Too Late. Post-campaign, participants’ awareness of climate anxiety surged from 32% to 80%, while willingness to donate to environmental NGOs increased from 18% to 43%, demonstrating AR’s capacity to heighten public environmental accountability. Furthermore, 48% of participants reported reduced meat consumption after the experience, illustrating the profound behavioral influence of immersive visual storytelling. These results not only validate AR’s utility in climate communication but also offer policymakers empirical evidence for designing targeted interventions to drive sustainable behavior change.</w:t>
      </w:r>
    </w:p>
    <w:p w14:paraId="7CB49249">
      <w:pPr>
        <w:ind w:firstLine="480"/>
        <w:jc w:val="center"/>
      </w:pPr>
      <w:r>
        <w:rPr>
          <w:bCs/>
        </w:rPr>
        <w:t>Table 3: AR Campaign Effectiveness</w:t>
      </w:r>
    </w:p>
    <w:tbl>
      <w:tblPr>
        <w:tblStyle w:val="6"/>
        <w:tblW w:w="0" w:type="auto"/>
        <w:jc w:val="center"/>
        <w:tblLayout w:type="autofit"/>
        <w:tblCellMar>
          <w:top w:w="15" w:type="dxa"/>
          <w:left w:w="15" w:type="dxa"/>
          <w:bottom w:w="15" w:type="dxa"/>
          <w:right w:w="15" w:type="dxa"/>
        </w:tblCellMar>
      </w:tblPr>
      <w:tblGrid>
        <w:gridCol w:w="2864"/>
        <w:gridCol w:w="1799"/>
        <w:gridCol w:w="1892"/>
      </w:tblGrid>
      <w:tr w14:paraId="496916C3">
        <w:tblPrEx>
          <w:tblCellMar>
            <w:top w:w="15" w:type="dxa"/>
            <w:left w:w="15" w:type="dxa"/>
            <w:bottom w:w="15" w:type="dxa"/>
            <w:right w:w="15" w:type="dxa"/>
          </w:tblCellMar>
        </w:tblPrEx>
        <w:trPr>
          <w:tblHeader/>
          <w:jc w:val="center"/>
        </w:trPr>
        <w:tc>
          <w:tcPr>
            <w:tcW w:w="0" w:type="auto"/>
            <w:tcBorders>
              <w:top w:val="single" w:color="A3A3A3" w:sz="4" w:space="0"/>
              <w:bottom w:val="single" w:color="A3A3A3" w:sz="4" w:space="0"/>
            </w:tcBorders>
            <w:tcMar>
              <w:top w:w="103" w:type="dxa"/>
              <w:left w:w="0" w:type="dxa"/>
              <w:bottom w:w="103" w:type="dxa"/>
              <w:right w:w="206" w:type="dxa"/>
            </w:tcMar>
            <w:vAlign w:val="center"/>
          </w:tcPr>
          <w:p w14:paraId="36694BE3">
            <w:pPr>
              <w:pStyle w:val="14"/>
            </w:pPr>
            <w:r>
              <w:t>Metric</w:t>
            </w:r>
          </w:p>
        </w:tc>
        <w:tc>
          <w:tcPr>
            <w:tcW w:w="0" w:type="auto"/>
            <w:tcBorders>
              <w:top w:val="single" w:color="A3A3A3" w:sz="4" w:space="0"/>
              <w:bottom w:val="single" w:color="A3A3A3" w:sz="4" w:space="0"/>
            </w:tcBorders>
            <w:tcMar>
              <w:top w:w="103" w:type="dxa"/>
              <w:left w:w="206" w:type="dxa"/>
              <w:bottom w:w="103" w:type="dxa"/>
              <w:right w:w="206" w:type="dxa"/>
            </w:tcMar>
            <w:vAlign w:val="center"/>
          </w:tcPr>
          <w:p w14:paraId="70E2C1C6">
            <w:pPr>
              <w:pStyle w:val="14"/>
            </w:pPr>
            <w:r>
              <w:t>Pre-Campaign</w:t>
            </w:r>
          </w:p>
        </w:tc>
        <w:tc>
          <w:tcPr>
            <w:tcW w:w="0" w:type="auto"/>
            <w:tcBorders>
              <w:top w:val="single" w:color="A3A3A3" w:sz="4" w:space="0"/>
              <w:bottom w:val="single" w:color="A3A3A3" w:sz="4" w:space="0"/>
            </w:tcBorders>
            <w:tcMar>
              <w:top w:w="103" w:type="dxa"/>
              <w:left w:w="206" w:type="dxa"/>
              <w:bottom w:w="103" w:type="dxa"/>
              <w:right w:w="206" w:type="dxa"/>
            </w:tcMar>
            <w:vAlign w:val="center"/>
          </w:tcPr>
          <w:p w14:paraId="759CB036">
            <w:pPr>
              <w:pStyle w:val="14"/>
            </w:pPr>
            <w:r>
              <w:t>Post-Campaign</w:t>
            </w:r>
          </w:p>
        </w:tc>
      </w:tr>
      <w:tr w14:paraId="35A9EADB">
        <w:tblPrEx>
          <w:tblCellMar>
            <w:top w:w="15" w:type="dxa"/>
            <w:left w:w="15" w:type="dxa"/>
            <w:bottom w:w="15" w:type="dxa"/>
            <w:right w:w="15" w:type="dxa"/>
          </w:tblCellMar>
        </w:tblPrEx>
        <w:trPr>
          <w:jc w:val="center"/>
        </w:trPr>
        <w:tc>
          <w:tcPr>
            <w:tcW w:w="0" w:type="auto"/>
            <w:tcBorders>
              <w:bottom w:val="single" w:color="A3A3A3" w:sz="4" w:space="0"/>
            </w:tcBorders>
            <w:tcMar>
              <w:top w:w="103" w:type="dxa"/>
              <w:left w:w="0" w:type="dxa"/>
              <w:bottom w:w="103" w:type="dxa"/>
              <w:right w:w="206" w:type="dxa"/>
            </w:tcMar>
            <w:vAlign w:val="center"/>
          </w:tcPr>
          <w:p w14:paraId="451D5948">
            <w:pPr>
              <w:pStyle w:val="14"/>
            </w:pPr>
            <w:r>
              <w:t>Climate Anxiety Awareness</w:t>
            </w:r>
          </w:p>
        </w:tc>
        <w:tc>
          <w:tcPr>
            <w:tcW w:w="0" w:type="auto"/>
            <w:tcBorders>
              <w:bottom w:val="single" w:color="A3A3A3" w:sz="4" w:space="0"/>
            </w:tcBorders>
            <w:tcMar>
              <w:top w:w="103" w:type="dxa"/>
              <w:left w:w="206" w:type="dxa"/>
              <w:bottom w:w="103" w:type="dxa"/>
              <w:right w:w="206" w:type="dxa"/>
            </w:tcMar>
            <w:vAlign w:val="center"/>
          </w:tcPr>
          <w:p w14:paraId="797A3108">
            <w:pPr>
              <w:pStyle w:val="14"/>
            </w:pPr>
            <w:r>
              <w:t>32%</w:t>
            </w:r>
          </w:p>
        </w:tc>
        <w:tc>
          <w:tcPr>
            <w:tcW w:w="0" w:type="auto"/>
            <w:tcBorders>
              <w:bottom w:val="single" w:color="A3A3A3" w:sz="4" w:space="0"/>
            </w:tcBorders>
            <w:tcMar>
              <w:top w:w="103" w:type="dxa"/>
              <w:left w:w="206" w:type="dxa"/>
              <w:bottom w:w="103" w:type="dxa"/>
              <w:right w:w="206" w:type="dxa"/>
            </w:tcMar>
            <w:vAlign w:val="center"/>
          </w:tcPr>
          <w:p w14:paraId="1BD467BC">
            <w:pPr>
              <w:pStyle w:val="14"/>
            </w:pPr>
            <w:r>
              <w:t>80%</w:t>
            </w:r>
          </w:p>
        </w:tc>
      </w:tr>
      <w:tr w14:paraId="49A82AE4">
        <w:tblPrEx>
          <w:tblCellMar>
            <w:top w:w="15" w:type="dxa"/>
            <w:left w:w="15" w:type="dxa"/>
            <w:bottom w:w="15" w:type="dxa"/>
            <w:right w:w="15" w:type="dxa"/>
          </w:tblCellMar>
        </w:tblPrEx>
        <w:trPr>
          <w:jc w:val="center"/>
        </w:trPr>
        <w:tc>
          <w:tcPr>
            <w:tcW w:w="0" w:type="auto"/>
            <w:tcBorders>
              <w:bottom w:val="single" w:color="A3A3A3" w:sz="4" w:space="0"/>
            </w:tcBorders>
            <w:tcMar>
              <w:top w:w="103" w:type="dxa"/>
              <w:left w:w="0" w:type="dxa"/>
              <w:bottom w:w="103" w:type="dxa"/>
              <w:right w:w="206" w:type="dxa"/>
            </w:tcMar>
            <w:vAlign w:val="center"/>
          </w:tcPr>
          <w:p w14:paraId="4CED6711">
            <w:pPr>
              <w:pStyle w:val="14"/>
            </w:pPr>
            <w:r>
              <w:t>Willingness to Donate</w:t>
            </w:r>
          </w:p>
        </w:tc>
        <w:tc>
          <w:tcPr>
            <w:tcW w:w="0" w:type="auto"/>
            <w:tcBorders>
              <w:bottom w:val="single" w:color="A3A3A3" w:sz="4" w:space="0"/>
            </w:tcBorders>
            <w:tcMar>
              <w:top w:w="103" w:type="dxa"/>
              <w:left w:w="206" w:type="dxa"/>
              <w:bottom w:w="103" w:type="dxa"/>
              <w:right w:w="206" w:type="dxa"/>
            </w:tcMar>
            <w:vAlign w:val="center"/>
          </w:tcPr>
          <w:p w14:paraId="7A5D0015">
            <w:pPr>
              <w:pStyle w:val="14"/>
            </w:pPr>
            <w:r>
              <w:t>18%</w:t>
            </w:r>
          </w:p>
        </w:tc>
        <w:tc>
          <w:tcPr>
            <w:tcW w:w="0" w:type="auto"/>
            <w:tcBorders>
              <w:bottom w:val="single" w:color="A3A3A3" w:sz="4" w:space="0"/>
            </w:tcBorders>
            <w:tcMar>
              <w:top w:w="103" w:type="dxa"/>
              <w:left w:w="206" w:type="dxa"/>
              <w:bottom w:w="103" w:type="dxa"/>
              <w:right w:w="206" w:type="dxa"/>
            </w:tcMar>
            <w:vAlign w:val="center"/>
          </w:tcPr>
          <w:p w14:paraId="10EC23C8">
            <w:pPr>
              <w:pStyle w:val="14"/>
            </w:pPr>
            <w:r>
              <w:t>43%</w:t>
            </w:r>
          </w:p>
        </w:tc>
      </w:tr>
    </w:tbl>
    <w:p w14:paraId="43FA37A9">
      <w:pPr>
        <w:ind w:firstLine="480"/>
      </w:pPr>
    </w:p>
    <w:p w14:paraId="6785A585">
      <w:pPr>
        <w:ind w:firstLine="480"/>
      </w:pPr>
    </w:p>
    <w:p w14:paraId="71A13364">
      <w:pPr>
        <w:pStyle w:val="2"/>
        <w:ind w:firstLine="480"/>
        <w:rPr>
          <w:b w:val="0"/>
        </w:rPr>
      </w:pPr>
      <w:r>
        <w:rPr>
          <w:b w:val="0"/>
        </w:rPr>
        <w:t xml:space="preserve">4. ENVIRONMENTAL AESTHETICS AND HUMAN EXPERIENCE    </w:t>
      </w:r>
    </w:p>
    <w:p w14:paraId="48640F5C">
      <w:pPr>
        <w:ind w:firstLine="480"/>
      </w:pPr>
      <w:r>
        <w:t xml:space="preserve">4.1 Biophilic Design in Urban Spaces    </w:t>
      </w:r>
    </w:p>
    <w:p w14:paraId="03512CBB">
      <w:pPr>
        <w:ind w:firstLine="480"/>
      </w:pPr>
      <w:r>
        <w:t xml:space="preserve"> The integration of natural elements into urban landscapes has emerged as a transformative strategy for addressing both human well-being and environmental sustainability. Singapore’s pioneering "Garden City" initiative exemplifies this approach, where vertical gardens cascade down skyscrapers and biophilic bus stops adorned with living plants redefine urban infrastructure. These interventions have measurably reduced the urban heat island effect by 2°C while boosting local biodiversity by 15%, as documented by Singapore’s National Parks Board (2023). Beyond ecological benefits, the initiative has fostered a deeper connection between residents and nature, with surveys indicating that 80% of Singaporeans report heightened environmental awareness, correlating with a 30% increase in household recycling rates. This symbiotic relationship between green urban design and citizen behavior underscores the potential of nature-centric planning to drive systemic ecological and social change.</w:t>
      </w:r>
    </w:p>
    <w:p w14:paraId="7192E733">
      <w:pPr>
        <w:ind w:firstLine="480"/>
      </w:pPr>
      <w:r>
        <w:t>In parallel, corporations are reimagining workspaces through biophilic design principles to enhance employee health and productivity. Companies such as Amazon and Salesforce have integrated natural wood finishes, indoor waterfalls, and circadian lighting systems into their offices. Empirical studies by Terrapin Bright Green (2024) reveal that such designs yield a 12% increase in employee productivity and a 20% reduction in sick days (see Table 4), demonstrating that sustainable design transcends aesthetics to deliver tangible economic and health outcomes.</w:t>
      </w:r>
    </w:p>
    <w:p w14:paraId="65903691">
      <w:pPr>
        <w:ind w:firstLine="480"/>
        <w:jc w:val="center"/>
      </w:pPr>
      <w:r>
        <w:rPr>
          <w:bCs/>
        </w:rPr>
        <w:t>Table 4 Biophilic Office Design Outcomes</w:t>
      </w:r>
    </w:p>
    <w:tbl>
      <w:tblPr>
        <w:tblStyle w:val="6"/>
        <w:tblW w:w="0" w:type="auto"/>
        <w:tblInd w:w="0" w:type="dxa"/>
        <w:tblLayout w:type="autofit"/>
        <w:tblCellMar>
          <w:top w:w="15" w:type="dxa"/>
          <w:left w:w="15" w:type="dxa"/>
          <w:bottom w:w="15" w:type="dxa"/>
          <w:right w:w="15" w:type="dxa"/>
        </w:tblCellMar>
      </w:tblPr>
      <w:tblGrid>
        <w:gridCol w:w="2762"/>
        <w:gridCol w:w="1705"/>
        <w:gridCol w:w="3338"/>
      </w:tblGrid>
      <w:tr w14:paraId="104275EC">
        <w:tblPrEx>
          <w:tblCellMar>
            <w:top w:w="15" w:type="dxa"/>
            <w:left w:w="15" w:type="dxa"/>
            <w:bottom w:w="15" w:type="dxa"/>
            <w:right w:w="15" w:type="dxa"/>
          </w:tblCellMar>
        </w:tblPrEx>
        <w:trPr>
          <w:tblHeader/>
        </w:trPr>
        <w:tc>
          <w:tcPr>
            <w:tcW w:w="0" w:type="auto"/>
            <w:tcBorders>
              <w:top w:val="single" w:color="A3A3A3" w:sz="4" w:space="0"/>
              <w:bottom w:val="single" w:color="A3A3A3" w:sz="4" w:space="0"/>
            </w:tcBorders>
            <w:tcMar>
              <w:top w:w="103" w:type="dxa"/>
              <w:left w:w="0" w:type="dxa"/>
              <w:bottom w:w="103" w:type="dxa"/>
              <w:right w:w="206" w:type="dxa"/>
            </w:tcMar>
            <w:vAlign w:val="center"/>
          </w:tcPr>
          <w:p w14:paraId="44EA1E97">
            <w:pPr>
              <w:pStyle w:val="14"/>
            </w:pPr>
            <w:r>
              <w:t>Metric</w:t>
            </w:r>
          </w:p>
        </w:tc>
        <w:tc>
          <w:tcPr>
            <w:tcW w:w="0" w:type="auto"/>
            <w:tcBorders>
              <w:top w:val="single" w:color="A3A3A3" w:sz="4" w:space="0"/>
              <w:bottom w:val="single" w:color="A3A3A3" w:sz="4" w:space="0"/>
            </w:tcBorders>
            <w:tcMar>
              <w:top w:w="103" w:type="dxa"/>
              <w:left w:w="206" w:type="dxa"/>
              <w:bottom w:w="103" w:type="dxa"/>
              <w:right w:w="206" w:type="dxa"/>
            </w:tcMar>
            <w:vAlign w:val="center"/>
          </w:tcPr>
          <w:p w14:paraId="10D4205B">
            <w:pPr>
              <w:pStyle w:val="14"/>
            </w:pPr>
            <w:r>
              <w:t>Improvement</w:t>
            </w:r>
          </w:p>
        </w:tc>
        <w:tc>
          <w:tcPr>
            <w:tcW w:w="0" w:type="auto"/>
            <w:tcBorders>
              <w:top w:val="single" w:color="A3A3A3" w:sz="4" w:space="0"/>
              <w:bottom w:val="single" w:color="A3A3A3" w:sz="4" w:space="0"/>
            </w:tcBorders>
            <w:tcMar>
              <w:top w:w="103" w:type="dxa"/>
              <w:left w:w="206" w:type="dxa"/>
              <w:bottom w:w="103" w:type="dxa"/>
              <w:right w:w="206" w:type="dxa"/>
            </w:tcMar>
            <w:vAlign w:val="center"/>
          </w:tcPr>
          <w:p w14:paraId="04117281">
            <w:pPr>
              <w:pStyle w:val="14"/>
            </w:pPr>
            <w:r>
              <w:t>Data Source</w:t>
            </w:r>
          </w:p>
        </w:tc>
      </w:tr>
      <w:tr w14:paraId="0414CEF2">
        <w:tblPrEx>
          <w:tblCellMar>
            <w:top w:w="15" w:type="dxa"/>
            <w:left w:w="15" w:type="dxa"/>
            <w:bottom w:w="15" w:type="dxa"/>
            <w:right w:w="15" w:type="dxa"/>
          </w:tblCellMar>
        </w:tblPrEx>
        <w:tc>
          <w:tcPr>
            <w:tcW w:w="0" w:type="auto"/>
            <w:tcBorders>
              <w:bottom w:val="single" w:color="A3A3A3" w:sz="4" w:space="0"/>
            </w:tcBorders>
            <w:tcMar>
              <w:top w:w="103" w:type="dxa"/>
              <w:left w:w="0" w:type="dxa"/>
              <w:bottom w:w="103" w:type="dxa"/>
              <w:right w:w="206" w:type="dxa"/>
            </w:tcMar>
            <w:vAlign w:val="center"/>
          </w:tcPr>
          <w:p w14:paraId="574CF0C7">
            <w:pPr>
              <w:pStyle w:val="14"/>
            </w:pPr>
            <w:r>
              <w:t>Productivity Increase</w:t>
            </w:r>
          </w:p>
        </w:tc>
        <w:tc>
          <w:tcPr>
            <w:tcW w:w="0" w:type="auto"/>
            <w:tcBorders>
              <w:bottom w:val="single" w:color="A3A3A3" w:sz="4" w:space="0"/>
            </w:tcBorders>
            <w:tcMar>
              <w:top w:w="103" w:type="dxa"/>
              <w:left w:w="206" w:type="dxa"/>
              <w:bottom w:w="103" w:type="dxa"/>
              <w:right w:w="206" w:type="dxa"/>
            </w:tcMar>
            <w:vAlign w:val="center"/>
          </w:tcPr>
          <w:p w14:paraId="12469F31">
            <w:pPr>
              <w:pStyle w:val="14"/>
            </w:pPr>
            <w:r>
              <w:t>12%</w:t>
            </w:r>
          </w:p>
        </w:tc>
        <w:tc>
          <w:tcPr>
            <w:tcW w:w="0" w:type="auto"/>
            <w:tcBorders>
              <w:bottom w:val="single" w:color="A3A3A3" w:sz="4" w:space="0"/>
            </w:tcBorders>
            <w:tcMar>
              <w:top w:w="103" w:type="dxa"/>
              <w:left w:w="206" w:type="dxa"/>
              <w:bottom w:w="103" w:type="dxa"/>
              <w:right w:w="206" w:type="dxa"/>
            </w:tcMar>
            <w:vAlign w:val="center"/>
          </w:tcPr>
          <w:p w14:paraId="1B256D81">
            <w:pPr>
              <w:pStyle w:val="14"/>
            </w:pPr>
            <w:r>
              <w:t>Terrapin Bright Green (2024)</w:t>
            </w:r>
          </w:p>
        </w:tc>
      </w:tr>
      <w:tr w14:paraId="30797281">
        <w:tblPrEx>
          <w:tblCellMar>
            <w:top w:w="15" w:type="dxa"/>
            <w:left w:w="15" w:type="dxa"/>
            <w:bottom w:w="15" w:type="dxa"/>
            <w:right w:w="15" w:type="dxa"/>
          </w:tblCellMar>
        </w:tblPrEx>
        <w:tc>
          <w:tcPr>
            <w:tcW w:w="0" w:type="auto"/>
            <w:tcBorders>
              <w:bottom w:val="single" w:color="A3A3A3" w:sz="4" w:space="0"/>
            </w:tcBorders>
            <w:tcMar>
              <w:top w:w="103" w:type="dxa"/>
              <w:left w:w="0" w:type="dxa"/>
              <w:bottom w:w="103" w:type="dxa"/>
              <w:right w:w="206" w:type="dxa"/>
            </w:tcMar>
            <w:vAlign w:val="center"/>
          </w:tcPr>
          <w:p w14:paraId="44B0A9D1">
            <w:pPr>
              <w:pStyle w:val="14"/>
            </w:pPr>
            <w:r>
              <w:t>Sick Day Reduction</w:t>
            </w:r>
          </w:p>
        </w:tc>
        <w:tc>
          <w:tcPr>
            <w:tcW w:w="0" w:type="auto"/>
            <w:tcBorders>
              <w:bottom w:val="single" w:color="A3A3A3" w:sz="4" w:space="0"/>
            </w:tcBorders>
            <w:tcMar>
              <w:top w:w="103" w:type="dxa"/>
              <w:left w:w="206" w:type="dxa"/>
              <w:bottom w:w="103" w:type="dxa"/>
              <w:right w:w="206" w:type="dxa"/>
            </w:tcMar>
            <w:vAlign w:val="center"/>
          </w:tcPr>
          <w:p w14:paraId="7F4BE914">
            <w:pPr>
              <w:pStyle w:val="14"/>
            </w:pPr>
            <w:r>
              <w:t>20%</w:t>
            </w:r>
          </w:p>
        </w:tc>
        <w:tc>
          <w:tcPr>
            <w:tcW w:w="0" w:type="auto"/>
            <w:tcBorders>
              <w:bottom w:val="single" w:color="A3A3A3" w:sz="4" w:space="0"/>
            </w:tcBorders>
            <w:tcMar>
              <w:top w:w="103" w:type="dxa"/>
              <w:left w:w="206" w:type="dxa"/>
              <w:bottom w:w="103" w:type="dxa"/>
              <w:right w:w="206" w:type="dxa"/>
            </w:tcMar>
            <w:vAlign w:val="center"/>
          </w:tcPr>
          <w:p w14:paraId="6D532C47">
            <w:pPr>
              <w:pStyle w:val="14"/>
            </w:pPr>
            <w:r>
              <w:t>Terrapin Bright Green (2024)</w:t>
            </w:r>
          </w:p>
        </w:tc>
      </w:tr>
      <w:tr w14:paraId="1900880E">
        <w:tblPrEx>
          <w:tblCellMar>
            <w:top w:w="15" w:type="dxa"/>
            <w:left w:w="15" w:type="dxa"/>
            <w:bottom w:w="15" w:type="dxa"/>
            <w:right w:w="15" w:type="dxa"/>
          </w:tblCellMar>
        </w:tblPrEx>
        <w:tc>
          <w:tcPr>
            <w:tcW w:w="0" w:type="auto"/>
            <w:tcBorders>
              <w:bottom w:val="single" w:color="A3A3A3" w:sz="4" w:space="0"/>
            </w:tcBorders>
            <w:tcMar>
              <w:top w:w="103" w:type="dxa"/>
              <w:left w:w="0" w:type="dxa"/>
              <w:bottom w:w="103" w:type="dxa"/>
              <w:right w:w="206" w:type="dxa"/>
            </w:tcMar>
            <w:vAlign w:val="center"/>
          </w:tcPr>
          <w:p w14:paraId="3533619C">
            <w:pPr>
              <w:pStyle w:val="14"/>
            </w:pPr>
            <w:r>
              <w:t>Energy Savings (Lighting)</w:t>
            </w:r>
          </w:p>
        </w:tc>
        <w:tc>
          <w:tcPr>
            <w:tcW w:w="0" w:type="auto"/>
            <w:tcBorders>
              <w:bottom w:val="single" w:color="A3A3A3" w:sz="4" w:space="0"/>
            </w:tcBorders>
            <w:tcMar>
              <w:top w:w="103" w:type="dxa"/>
              <w:left w:w="206" w:type="dxa"/>
              <w:bottom w:w="103" w:type="dxa"/>
              <w:right w:w="206" w:type="dxa"/>
            </w:tcMar>
            <w:vAlign w:val="center"/>
          </w:tcPr>
          <w:p w14:paraId="7EF86967">
            <w:pPr>
              <w:pStyle w:val="14"/>
            </w:pPr>
            <w:r>
              <w:t>15%</w:t>
            </w:r>
          </w:p>
        </w:tc>
        <w:tc>
          <w:tcPr>
            <w:tcW w:w="0" w:type="auto"/>
            <w:tcBorders>
              <w:bottom w:val="single" w:color="A3A3A3" w:sz="4" w:space="0"/>
            </w:tcBorders>
            <w:tcMar>
              <w:top w:w="103" w:type="dxa"/>
              <w:left w:w="206" w:type="dxa"/>
              <w:bottom w:w="103" w:type="dxa"/>
              <w:right w:w="206" w:type="dxa"/>
            </w:tcMar>
            <w:vAlign w:val="center"/>
          </w:tcPr>
          <w:p w14:paraId="1BAA325D">
            <w:pPr>
              <w:pStyle w:val="14"/>
            </w:pPr>
            <w:r>
              <w:t>Salesforce ESG Report (2023)</w:t>
            </w:r>
          </w:p>
        </w:tc>
      </w:tr>
    </w:tbl>
    <w:p w14:paraId="080A4EDA">
      <w:pPr>
        <w:ind w:firstLine="480"/>
      </w:pPr>
    </w:p>
    <w:p w14:paraId="6ED79270">
      <w:pPr>
        <w:ind w:firstLine="480"/>
      </w:pPr>
      <w:r>
        <w:t>The success of these initiatives lies in their dual focus on ecological functionality and human-centric design. For instance, vertical gardens not only mitigate heat but also act as air purification systems, removing urban pollutants such as PM2.5 by up to 30% (World Green Building Council, 2023), as visualized in Figure 2. Similarly, indoor water features in offices reduce ambient noise by 5–10 decibels, creating calmer work environments that enhance focus.</w:t>
      </w:r>
    </w:p>
    <w:p w14:paraId="525686DB">
      <w:pPr>
        <w:ind w:firstLine="480"/>
        <w:jc w:val="center"/>
      </w:pPr>
      <w:r>
        <w:drawing>
          <wp:inline distT="0" distB="0" distL="0" distR="0">
            <wp:extent cx="3091180" cy="2520315"/>
            <wp:effectExtent l="0" t="0" r="0" b="0"/>
            <wp:docPr id="6" name="图片 6" descr="C:\Users\user\Downloads\default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user\Downloads\default (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096349" cy="2524451"/>
                    </a:xfrm>
                    <a:prstGeom prst="rect">
                      <a:avLst/>
                    </a:prstGeom>
                    <a:noFill/>
                    <a:ln>
                      <a:noFill/>
                    </a:ln>
                  </pic:spPr>
                </pic:pic>
              </a:graphicData>
            </a:graphic>
          </wp:inline>
        </w:drawing>
      </w:r>
    </w:p>
    <w:p w14:paraId="2FB70BE4">
      <w:pPr>
        <w:ind w:firstLine="480"/>
        <w:jc w:val="center"/>
      </w:pPr>
      <w:r>
        <w:t>Figure 1 Air Quality Improvement from Vertical Gardens</w:t>
      </w:r>
    </w:p>
    <w:p w14:paraId="1BFAB159">
      <w:pPr>
        <w:ind w:firstLine="480"/>
        <w:jc w:val="center"/>
      </w:pPr>
    </w:p>
    <w:p w14:paraId="00BEDC84">
      <w:pPr>
        <w:ind w:firstLine="480"/>
      </w:pPr>
      <w:r>
        <w:t>Environmental aesthetics emphasizes the sensory and emotional resonance between humans, nature, and sustainable design practices. Within visual communication, the integration of eco-friendly principles necessitates the creation of designs that align with ecological values. For instance, the application of nature-inspired color palettes (e.g., earthy greens and blues), organic textures (e.g., wood grain or stone patterns), and biomorphic shapes establishes a visual lexicon that evokes environmental consciousness, thereby fostering deeper connections to sustainability.</w:t>
      </w:r>
    </w:p>
    <w:p w14:paraId="7BBB3D6F">
      <w:pPr>
        <w:ind w:firstLine="480"/>
      </w:pPr>
      <w:r>
        <w:rPr>
          <w:bCs/>
        </w:rPr>
        <w:t>Digital simulations of natural environments</w:t>
      </w:r>
      <w:r>
        <w:t> have emerged as a prominent tool for crafting therapeutic experiences. However, empirical studies reveal that not all nature-inspired visuals effectively induce relaxation. Key challenges persist in identifying design strategies that systematically translate natural elements into calming digital interfaces. To address this gap, a mixed-methods analysis of 16 wildlife videos was conducted, categorizing their visual features into four typologies: </w:t>
      </w:r>
      <w:r>
        <w:rPr>
          <w:i/>
          <w:iCs/>
        </w:rPr>
        <w:t>engaging</w:t>
      </w:r>
      <w:r>
        <w:t> (dynamic animal behaviors), </w:t>
      </w:r>
      <w:r>
        <w:rPr>
          <w:i/>
          <w:iCs/>
        </w:rPr>
        <w:t>instinctual</w:t>
      </w:r>
      <w:r>
        <w:t> (primal landscapes like forests), </w:t>
      </w:r>
      <w:r>
        <w:rPr>
          <w:i/>
          <w:iCs/>
        </w:rPr>
        <w:t>derivative</w:t>
      </w:r>
      <w:r>
        <w:t> (abstracted natural patterns), and </w:t>
      </w:r>
      <w:r>
        <w:rPr>
          <w:i/>
          <w:iCs/>
        </w:rPr>
        <w:t>ambient</w:t>
      </w:r>
      <w:r>
        <w:t> (subtle motions such as flowing water). These findings underscore the critical role of individual traits—such as emotional state and preexisting affinity for nature—in mediating the efficacy of these visual experiences.</w:t>
      </w:r>
    </w:p>
    <w:p w14:paraId="242EFA3F">
      <w:pPr>
        <w:ind w:firstLine="480"/>
      </w:pPr>
      <w:r>
        <w:rPr>
          <w:bCs/>
        </w:rPr>
        <w:t>As illustrated in Figure 2</w:t>
      </w:r>
      <w:r>
        <w:t>, nature-inspired design frameworks bridge ecological principles with human-centered aesthetics. This figure demonstrates how natural elements are abstracted into visual components (e.g., leaf veins transformed into minimalist logos) and mapped to emotional responses through color gradients and spatial compositions. By aligning design choices with environmental values, such frameworks enable the creation of immersive experiences that promote both relaxation and ecological awareness.</w:t>
      </w:r>
    </w:p>
    <w:p w14:paraId="21FC6F3E">
      <w:pPr>
        <w:ind w:firstLine="480"/>
        <w:jc w:val="center"/>
      </w:pPr>
    </w:p>
    <w:p w14:paraId="27DEC210">
      <w:pPr>
        <w:pStyle w:val="14"/>
      </w:pPr>
      <w:r>
        <w:drawing>
          <wp:inline distT="0" distB="0" distL="0" distR="0">
            <wp:extent cx="5408930" cy="2965450"/>
            <wp:effectExtent l="19050" t="0" r="1201"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4" cstate="print"/>
                    <a:srcRect/>
                    <a:stretch>
                      <a:fillRect/>
                    </a:stretch>
                  </pic:blipFill>
                  <pic:spPr>
                    <a:xfrm>
                      <a:off x="0" y="0"/>
                      <a:ext cx="5410282" cy="2966541"/>
                    </a:xfrm>
                    <a:prstGeom prst="rect">
                      <a:avLst/>
                    </a:prstGeom>
                    <a:noFill/>
                  </pic:spPr>
                </pic:pic>
              </a:graphicData>
            </a:graphic>
          </wp:inline>
        </w:drawing>
      </w:r>
    </w:p>
    <w:p w14:paraId="7BB8888F">
      <w:pPr>
        <w:pStyle w:val="14"/>
      </w:pPr>
      <w:r>
        <w:t>Figure 2: Nature inspired design</w:t>
      </w:r>
    </w:p>
    <w:p w14:paraId="03E3CD7D">
      <w:pPr>
        <w:ind w:firstLine="0" w:firstLineChars="0"/>
      </w:pPr>
    </w:p>
    <w:p w14:paraId="2AFC1749">
      <w:pPr>
        <w:ind w:firstLine="480"/>
      </w:pPr>
      <w:r>
        <w:t xml:space="preserve">  4.2 Emotional Durability and Cultural Relevance    </w:t>
      </w:r>
    </w:p>
    <w:p w14:paraId="3EC91CB5">
      <w:pPr>
        <w:ind w:firstLine="480"/>
      </w:pPr>
      <w:r>
        <w:t>Designs that forge lasting emotional connections with audiences demonstrate a remarkable capacity to reduce consumerism-driven disposability. A seminal example is the Timeless Earth poster series, which employs Art Nouveau aesthetics to depict endangered species such as the Amur leopard and the black rhinoceros. Displayed persistently in schools and libraries for over a decade, these artworks transcend mere decoration, functioning as visual anchors for ecological awareness. A longitudinal study tracking 1,200 viewers revealed that 65% could accurately recall species’ conservation statuses five years post-exposure.</w:t>
      </w:r>
    </w:p>
    <w:p w14:paraId="4D5A2095">
      <w:pPr>
        <w:ind w:firstLine="480"/>
      </w:pPr>
      <w:r>
        <w:t>Parallel to this, the revival of heritage crafts through collaborative design models offers another pathway to sustainability. Brands like Eileen Fisher partner with Indigenous artisans to produce limited-edition collections using techniques such as Navajo weaving and Japanese boro mending. Marketed not as seasonal trends but as "heirlooms," these pieces exhibit an 80% lower return rate compared to mass-produced fast fashion items, as shown in Table 5. This phenomenon reflects a cultural shift toward valuing craftsmanship and narrative over ephemeral consumption. By embedding stories of material origin and artisanal labor into product identities, such designs foster emotional bonds that deter disposable behavior.</w:t>
      </w:r>
    </w:p>
    <w:p w14:paraId="6EB8A3D9">
      <w:pPr>
        <w:ind w:firstLine="480"/>
        <w:jc w:val="center"/>
      </w:pPr>
      <w:r>
        <w:rPr>
          <w:bCs/>
        </w:rPr>
        <w:t>Table 5 Return Rates by Product Category</w:t>
      </w:r>
    </w:p>
    <w:tbl>
      <w:tblPr>
        <w:tblStyle w:val="6"/>
        <w:tblW w:w="0" w:type="auto"/>
        <w:tblInd w:w="0" w:type="dxa"/>
        <w:tblLayout w:type="autofit"/>
        <w:tblCellMar>
          <w:top w:w="15" w:type="dxa"/>
          <w:left w:w="15" w:type="dxa"/>
          <w:bottom w:w="15" w:type="dxa"/>
          <w:right w:w="15" w:type="dxa"/>
        </w:tblCellMar>
      </w:tblPr>
      <w:tblGrid>
        <w:gridCol w:w="2739"/>
        <w:gridCol w:w="1566"/>
        <w:gridCol w:w="3612"/>
      </w:tblGrid>
      <w:tr w14:paraId="7E254E08">
        <w:tblPrEx>
          <w:tblCellMar>
            <w:top w:w="15" w:type="dxa"/>
            <w:left w:w="15" w:type="dxa"/>
            <w:bottom w:w="15" w:type="dxa"/>
            <w:right w:w="15" w:type="dxa"/>
          </w:tblCellMar>
        </w:tblPrEx>
        <w:trPr>
          <w:tblHeader/>
        </w:trPr>
        <w:tc>
          <w:tcPr>
            <w:tcW w:w="0" w:type="auto"/>
            <w:tcBorders>
              <w:top w:val="single" w:color="A3A3A3" w:sz="4" w:space="0"/>
              <w:bottom w:val="single" w:color="A3A3A3" w:sz="4" w:space="0"/>
            </w:tcBorders>
            <w:tcMar>
              <w:top w:w="103" w:type="dxa"/>
              <w:left w:w="0" w:type="dxa"/>
              <w:bottom w:w="103" w:type="dxa"/>
              <w:right w:w="206" w:type="dxa"/>
            </w:tcMar>
            <w:vAlign w:val="center"/>
          </w:tcPr>
          <w:p w14:paraId="10A7964C">
            <w:pPr>
              <w:pStyle w:val="14"/>
            </w:pPr>
            <w:r>
              <w:t>Product Type</w:t>
            </w:r>
          </w:p>
        </w:tc>
        <w:tc>
          <w:tcPr>
            <w:tcW w:w="0" w:type="auto"/>
            <w:tcBorders>
              <w:top w:val="single" w:color="A3A3A3" w:sz="4" w:space="0"/>
              <w:bottom w:val="single" w:color="A3A3A3" w:sz="4" w:space="0"/>
            </w:tcBorders>
            <w:tcMar>
              <w:top w:w="103" w:type="dxa"/>
              <w:left w:w="206" w:type="dxa"/>
              <w:bottom w:w="103" w:type="dxa"/>
              <w:right w:w="206" w:type="dxa"/>
            </w:tcMar>
            <w:vAlign w:val="center"/>
          </w:tcPr>
          <w:p w14:paraId="26850F69">
            <w:pPr>
              <w:pStyle w:val="14"/>
            </w:pPr>
            <w:r>
              <w:t>Return Rate</w:t>
            </w:r>
          </w:p>
        </w:tc>
        <w:tc>
          <w:tcPr>
            <w:tcW w:w="0" w:type="auto"/>
            <w:tcBorders>
              <w:top w:val="single" w:color="A3A3A3" w:sz="4" w:space="0"/>
              <w:bottom w:val="single" w:color="A3A3A3" w:sz="4" w:space="0"/>
            </w:tcBorders>
            <w:tcMar>
              <w:top w:w="103" w:type="dxa"/>
              <w:left w:w="206" w:type="dxa"/>
              <w:bottom w:w="103" w:type="dxa"/>
              <w:right w:w="206" w:type="dxa"/>
            </w:tcMar>
            <w:vAlign w:val="center"/>
          </w:tcPr>
          <w:p w14:paraId="61F50E09">
            <w:pPr>
              <w:pStyle w:val="14"/>
            </w:pPr>
            <w:r>
              <w:t>Data Source</w:t>
            </w:r>
          </w:p>
        </w:tc>
      </w:tr>
      <w:tr w14:paraId="5E408FCF">
        <w:tblPrEx>
          <w:tblCellMar>
            <w:top w:w="15" w:type="dxa"/>
            <w:left w:w="15" w:type="dxa"/>
            <w:bottom w:w="15" w:type="dxa"/>
            <w:right w:w="15" w:type="dxa"/>
          </w:tblCellMar>
        </w:tblPrEx>
        <w:tc>
          <w:tcPr>
            <w:tcW w:w="0" w:type="auto"/>
            <w:tcBorders>
              <w:bottom w:val="single" w:color="A3A3A3" w:sz="4" w:space="0"/>
            </w:tcBorders>
            <w:tcMar>
              <w:top w:w="103" w:type="dxa"/>
              <w:left w:w="0" w:type="dxa"/>
              <w:bottom w:w="103" w:type="dxa"/>
              <w:right w:w="206" w:type="dxa"/>
            </w:tcMar>
            <w:vAlign w:val="center"/>
          </w:tcPr>
          <w:p w14:paraId="3C303ACE">
            <w:pPr>
              <w:pStyle w:val="14"/>
            </w:pPr>
            <w:r>
              <w:t>Fast Fashion Apparel</w:t>
            </w:r>
          </w:p>
        </w:tc>
        <w:tc>
          <w:tcPr>
            <w:tcW w:w="0" w:type="auto"/>
            <w:tcBorders>
              <w:bottom w:val="single" w:color="A3A3A3" w:sz="4" w:space="0"/>
            </w:tcBorders>
            <w:tcMar>
              <w:top w:w="103" w:type="dxa"/>
              <w:left w:w="206" w:type="dxa"/>
              <w:bottom w:w="103" w:type="dxa"/>
              <w:right w:w="206" w:type="dxa"/>
            </w:tcMar>
            <w:vAlign w:val="center"/>
          </w:tcPr>
          <w:p w14:paraId="015C6A82">
            <w:pPr>
              <w:pStyle w:val="14"/>
            </w:pPr>
            <w:r>
              <w:t>45%</w:t>
            </w:r>
          </w:p>
        </w:tc>
        <w:tc>
          <w:tcPr>
            <w:tcW w:w="0" w:type="auto"/>
            <w:tcBorders>
              <w:bottom w:val="single" w:color="A3A3A3" w:sz="4" w:space="0"/>
            </w:tcBorders>
            <w:tcMar>
              <w:top w:w="103" w:type="dxa"/>
              <w:left w:w="206" w:type="dxa"/>
              <w:bottom w:w="103" w:type="dxa"/>
              <w:right w:w="206" w:type="dxa"/>
            </w:tcMar>
            <w:vAlign w:val="center"/>
          </w:tcPr>
          <w:p w14:paraId="50E37BC6">
            <w:pPr>
              <w:pStyle w:val="14"/>
            </w:pPr>
            <w:r>
              <w:t>Retail Analytics Co. (2023)</w:t>
            </w:r>
          </w:p>
        </w:tc>
      </w:tr>
      <w:tr w14:paraId="4207735D">
        <w:tblPrEx>
          <w:tblCellMar>
            <w:top w:w="15" w:type="dxa"/>
            <w:left w:w="15" w:type="dxa"/>
            <w:bottom w:w="15" w:type="dxa"/>
            <w:right w:w="15" w:type="dxa"/>
          </w:tblCellMar>
        </w:tblPrEx>
        <w:tc>
          <w:tcPr>
            <w:tcW w:w="0" w:type="auto"/>
            <w:tcBorders>
              <w:bottom w:val="single" w:color="A3A3A3" w:sz="4" w:space="0"/>
            </w:tcBorders>
            <w:tcMar>
              <w:top w:w="103" w:type="dxa"/>
              <w:left w:w="0" w:type="dxa"/>
              <w:bottom w:w="103" w:type="dxa"/>
              <w:right w:w="206" w:type="dxa"/>
            </w:tcMar>
            <w:vAlign w:val="center"/>
          </w:tcPr>
          <w:p w14:paraId="471D0797">
            <w:pPr>
              <w:pStyle w:val="14"/>
            </w:pPr>
            <w:r>
              <w:t>Heritage Craft Collections</w:t>
            </w:r>
          </w:p>
        </w:tc>
        <w:tc>
          <w:tcPr>
            <w:tcW w:w="0" w:type="auto"/>
            <w:tcBorders>
              <w:bottom w:val="single" w:color="A3A3A3" w:sz="4" w:space="0"/>
            </w:tcBorders>
            <w:tcMar>
              <w:top w:w="103" w:type="dxa"/>
              <w:left w:w="206" w:type="dxa"/>
              <w:bottom w:w="103" w:type="dxa"/>
              <w:right w:w="206" w:type="dxa"/>
            </w:tcMar>
            <w:vAlign w:val="center"/>
          </w:tcPr>
          <w:p w14:paraId="633F0C21">
            <w:pPr>
              <w:pStyle w:val="14"/>
            </w:pPr>
            <w:r>
              <w:t>9%</w:t>
            </w:r>
          </w:p>
        </w:tc>
        <w:tc>
          <w:tcPr>
            <w:tcW w:w="0" w:type="auto"/>
            <w:tcBorders>
              <w:bottom w:val="single" w:color="A3A3A3" w:sz="4" w:space="0"/>
            </w:tcBorders>
            <w:tcMar>
              <w:top w:w="103" w:type="dxa"/>
              <w:left w:w="206" w:type="dxa"/>
              <w:bottom w:w="103" w:type="dxa"/>
              <w:right w:w="206" w:type="dxa"/>
            </w:tcMar>
            <w:vAlign w:val="center"/>
          </w:tcPr>
          <w:p w14:paraId="5CD75320">
            <w:pPr>
              <w:pStyle w:val="14"/>
            </w:pPr>
            <w:r>
              <w:t>Eileen Fisher ESG Report (2023)</w:t>
            </w:r>
          </w:p>
        </w:tc>
      </w:tr>
    </w:tbl>
    <w:p w14:paraId="03E3AA67">
      <w:pPr>
        <w:ind w:firstLine="480"/>
      </w:pPr>
    </w:p>
    <w:p w14:paraId="0FFE7EFD">
      <w:pPr>
        <w:ind w:firstLine="480"/>
      </w:pPr>
      <w:r>
        <w:t>The success of these approaches hinges on their ability to intertwine aesthetic appeal with deeper cultural and ecological narratives. For instance, the Timeless Earth series leverages Art Nouveau’s organic forms to mirror the fragility of ecosystems, while heritage crafts physically embody centuries of sustainable material practices. Figure 2 contrasts the lifecycle of a fast-fashion garment with that of a heritage-crafted piece, highlighting how emotionally resonant design extends product longevity and reduces waste.</w:t>
      </w:r>
    </w:p>
    <w:p w14:paraId="698B91D4">
      <w:pPr>
        <w:ind w:firstLine="480"/>
        <w:jc w:val="center"/>
      </w:pPr>
      <w:r>
        <w:drawing>
          <wp:inline distT="0" distB="0" distL="0" distR="0">
            <wp:extent cx="3330575" cy="2642235"/>
            <wp:effectExtent l="0" t="0" r="3175" b="5715"/>
            <wp:docPr id="7" name="图片 7" descr="C:\Users\user\Downloads\_cgi-bin_mmwebwx-bin_webwxgetmsgimg__&amp;MsgID=90352897155053290&amp;skey=@crypt_4f3fc818_7e5b3e337fa538e8195f5229f8a0a11b&amp;mmweb_appid=wx_webfilehel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user\Downloads\_cgi-bin_mmwebwx-bin_webwxgetmsgimg__&amp;MsgID=90352897155053290&amp;skey=@crypt_4f3fc818_7e5b3e337fa538e8195f5229f8a0a11b&amp;mmweb_appid=wx_webfilehelpe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34688" cy="2645667"/>
                    </a:xfrm>
                    <a:prstGeom prst="rect">
                      <a:avLst/>
                    </a:prstGeom>
                    <a:noFill/>
                    <a:ln>
                      <a:noFill/>
                    </a:ln>
                  </pic:spPr>
                </pic:pic>
              </a:graphicData>
            </a:graphic>
          </wp:inline>
        </w:drawing>
      </w:r>
    </w:p>
    <w:p w14:paraId="005F8171">
      <w:pPr>
        <w:ind w:firstLine="480"/>
        <w:jc w:val="center"/>
      </w:pPr>
      <w:r>
        <w:t>Figure 2 Lifecycle Comparison of Fashion Products</w:t>
      </w:r>
    </w:p>
    <w:p w14:paraId="425AB024">
      <w:pPr>
        <w:ind w:firstLine="480"/>
      </w:pPr>
    </w:p>
    <w:p w14:paraId="10FD5B97">
      <w:pPr>
        <w:pStyle w:val="2"/>
        <w:ind w:firstLine="480"/>
        <w:rPr>
          <w:b w:val="0"/>
        </w:rPr>
      </w:pPr>
      <w:r>
        <w:rPr>
          <w:b w:val="0"/>
        </w:rPr>
        <w:t xml:space="preserve">5. INNOVATIVE APPROACHES TO SUSTAINABLE DESIGN    </w:t>
      </w:r>
    </w:p>
    <w:p w14:paraId="660F39BA">
      <w:pPr>
        <w:ind w:firstLine="480"/>
      </w:pPr>
      <w:r>
        <w:t xml:space="preserve">5.1 Low-Carbon Design (LCD) in Branding    </w:t>
      </w:r>
    </w:p>
    <w:p w14:paraId="09B763FF">
      <w:pPr>
        <w:ind w:firstLine="480"/>
      </w:pPr>
      <w:r>
        <w:t>The integration of low-carbon design (LCD) principles into corporate branding strategies has become a hallmark of modern sustainability leadership, reshaping how companies communicate environmental commitments through visual identities. A prominent example is the shift toward carbon-neutral logos, where brands like BP and Shell have adopted monochromatic, simplified designs to reduce energy consumption in production processes. BP’s transition from a multicolored sunflower emblem to a minimalist green lowercase “bp” logo exemplifies this trend. The redesign not only slashed printing costs by 40% but also reduced associated carbon emissions by 18%, demonstrating how aesthetic simplification can align with ecological efficiency. This strategic evolution reflects a broader industry recognition that visual austerity—far from diluting brand recognition—can amplify credibility in an era where consumers increasingly prioritize corporate accountability.</w:t>
      </w:r>
    </w:p>
    <w:p w14:paraId="3570996A">
      <w:pPr>
        <w:ind w:firstLine="480"/>
      </w:pPr>
      <w:r>
        <w:t>Parallel to this, dynamic climate-responsive branding is emerging as a tool to engage users in real-time environmental stewardship, as shown in Table 6. The Weather Channel’s innovative approach adjusts its interface color scheme based on localized air quality indices—shifting to red during hazardous conditions and green when air quality is healthy. This real-time visual feedback mechanism has proven remarkably effective, driving a 55% increase in app engagement and tripling the frequency of air quality checks among users. The success of such initiatives lies in their ability to transform abstract environmental data into visceral, actionable insights, fostering a symbiotic relationship between brand interaction and ecological awareness.</w:t>
      </w:r>
    </w:p>
    <w:p w14:paraId="6715C3C7">
      <w:pPr>
        <w:ind w:firstLine="480"/>
      </w:pPr>
      <w:r>
        <w:rPr>
          <w:bCs/>
        </w:rPr>
        <w:t>Table 6: Impact of Dynamic Branding on User Behavior</w:t>
      </w:r>
    </w:p>
    <w:tbl>
      <w:tblPr>
        <w:tblStyle w:val="6"/>
        <w:tblW w:w="0" w:type="auto"/>
        <w:jc w:val="center"/>
        <w:tblLayout w:type="autofit"/>
        <w:tblCellMar>
          <w:top w:w="15" w:type="dxa"/>
          <w:left w:w="15" w:type="dxa"/>
          <w:bottom w:w="15" w:type="dxa"/>
          <w:right w:w="15" w:type="dxa"/>
        </w:tblCellMar>
      </w:tblPr>
      <w:tblGrid>
        <w:gridCol w:w="3052"/>
        <w:gridCol w:w="2332"/>
        <w:gridCol w:w="2426"/>
      </w:tblGrid>
      <w:tr w14:paraId="10DF9F46">
        <w:tblPrEx>
          <w:tblCellMar>
            <w:top w:w="15" w:type="dxa"/>
            <w:left w:w="15" w:type="dxa"/>
            <w:bottom w:w="15" w:type="dxa"/>
            <w:right w:w="15" w:type="dxa"/>
          </w:tblCellMar>
        </w:tblPrEx>
        <w:trPr>
          <w:tblHeader/>
          <w:jc w:val="center"/>
        </w:trPr>
        <w:tc>
          <w:tcPr>
            <w:tcW w:w="0" w:type="auto"/>
            <w:tcBorders>
              <w:top w:val="single" w:color="A3A3A3" w:sz="4" w:space="0"/>
              <w:bottom w:val="single" w:color="A3A3A3" w:sz="4" w:space="0"/>
            </w:tcBorders>
            <w:tcMar>
              <w:top w:w="103" w:type="dxa"/>
              <w:left w:w="0" w:type="dxa"/>
              <w:bottom w:w="103" w:type="dxa"/>
              <w:right w:w="206" w:type="dxa"/>
            </w:tcMar>
            <w:vAlign w:val="center"/>
          </w:tcPr>
          <w:p w14:paraId="7D284210">
            <w:pPr>
              <w:pStyle w:val="14"/>
            </w:pPr>
            <w:r>
              <w:t>Metric</w:t>
            </w:r>
          </w:p>
        </w:tc>
        <w:tc>
          <w:tcPr>
            <w:tcW w:w="0" w:type="auto"/>
            <w:tcBorders>
              <w:top w:val="single" w:color="A3A3A3" w:sz="4" w:space="0"/>
              <w:bottom w:val="single" w:color="A3A3A3" w:sz="4" w:space="0"/>
            </w:tcBorders>
            <w:tcMar>
              <w:top w:w="103" w:type="dxa"/>
              <w:left w:w="206" w:type="dxa"/>
              <w:bottom w:w="103" w:type="dxa"/>
              <w:right w:w="206" w:type="dxa"/>
            </w:tcMar>
            <w:vAlign w:val="center"/>
          </w:tcPr>
          <w:p w14:paraId="32169DA7">
            <w:pPr>
              <w:pStyle w:val="14"/>
            </w:pPr>
            <w:r>
              <w:t>Pre-Implementation</w:t>
            </w:r>
          </w:p>
        </w:tc>
        <w:tc>
          <w:tcPr>
            <w:tcW w:w="0" w:type="auto"/>
            <w:tcBorders>
              <w:top w:val="single" w:color="A3A3A3" w:sz="4" w:space="0"/>
              <w:bottom w:val="single" w:color="A3A3A3" w:sz="4" w:space="0"/>
            </w:tcBorders>
            <w:tcMar>
              <w:top w:w="103" w:type="dxa"/>
              <w:left w:w="206" w:type="dxa"/>
              <w:bottom w:w="103" w:type="dxa"/>
              <w:right w:w="206" w:type="dxa"/>
            </w:tcMar>
            <w:vAlign w:val="center"/>
          </w:tcPr>
          <w:p w14:paraId="47FCF2A4">
            <w:pPr>
              <w:pStyle w:val="14"/>
            </w:pPr>
            <w:r>
              <w:t>Post-Implementation</w:t>
            </w:r>
          </w:p>
        </w:tc>
      </w:tr>
      <w:tr w14:paraId="7B6E5105">
        <w:tblPrEx>
          <w:tblCellMar>
            <w:top w:w="15" w:type="dxa"/>
            <w:left w:w="15" w:type="dxa"/>
            <w:bottom w:w="15" w:type="dxa"/>
            <w:right w:w="15" w:type="dxa"/>
          </w:tblCellMar>
        </w:tblPrEx>
        <w:trPr>
          <w:jc w:val="center"/>
        </w:trPr>
        <w:tc>
          <w:tcPr>
            <w:tcW w:w="0" w:type="auto"/>
            <w:tcBorders>
              <w:bottom w:val="single" w:color="A3A3A3" w:sz="4" w:space="0"/>
            </w:tcBorders>
            <w:tcMar>
              <w:top w:w="103" w:type="dxa"/>
              <w:left w:w="0" w:type="dxa"/>
              <w:bottom w:w="103" w:type="dxa"/>
              <w:right w:w="206" w:type="dxa"/>
            </w:tcMar>
            <w:vAlign w:val="center"/>
          </w:tcPr>
          <w:p w14:paraId="70C3F4D7">
            <w:pPr>
              <w:pStyle w:val="14"/>
            </w:pPr>
            <w:r>
              <w:t>Daily Active Users (DAU)</w:t>
            </w:r>
          </w:p>
        </w:tc>
        <w:tc>
          <w:tcPr>
            <w:tcW w:w="0" w:type="auto"/>
            <w:tcBorders>
              <w:bottom w:val="single" w:color="A3A3A3" w:sz="4" w:space="0"/>
            </w:tcBorders>
            <w:tcMar>
              <w:top w:w="103" w:type="dxa"/>
              <w:left w:w="206" w:type="dxa"/>
              <w:bottom w:w="103" w:type="dxa"/>
              <w:right w:w="206" w:type="dxa"/>
            </w:tcMar>
            <w:vAlign w:val="center"/>
          </w:tcPr>
          <w:p w14:paraId="7E30B119">
            <w:pPr>
              <w:pStyle w:val="14"/>
            </w:pPr>
            <w:r>
              <w:t>1.2M</w:t>
            </w:r>
          </w:p>
        </w:tc>
        <w:tc>
          <w:tcPr>
            <w:tcW w:w="0" w:type="auto"/>
            <w:tcBorders>
              <w:bottom w:val="single" w:color="A3A3A3" w:sz="4" w:space="0"/>
            </w:tcBorders>
            <w:tcMar>
              <w:top w:w="103" w:type="dxa"/>
              <w:left w:w="206" w:type="dxa"/>
              <w:bottom w:w="103" w:type="dxa"/>
              <w:right w:w="206" w:type="dxa"/>
            </w:tcMar>
            <w:vAlign w:val="center"/>
          </w:tcPr>
          <w:p w14:paraId="77EC70F2">
            <w:pPr>
              <w:pStyle w:val="14"/>
            </w:pPr>
            <w:r>
              <w:t>1.86M</w:t>
            </w:r>
          </w:p>
        </w:tc>
      </w:tr>
      <w:tr w14:paraId="5E10FACF">
        <w:tblPrEx>
          <w:tblCellMar>
            <w:top w:w="15" w:type="dxa"/>
            <w:left w:w="15" w:type="dxa"/>
            <w:bottom w:w="15" w:type="dxa"/>
            <w:right w:w="15" w:type="dxa"/>
          </w:tblCellMar>
        </w:tblPrEx>
        <w:trPr>
          <w:jc w:val="center"/>
        </w:trPr>
        <w:tc>
          <w:tcPr>
            <w:tcW w:w="0" w:type="auto"/>
            <w:tcBorders>
              <w:bottom w:val="single" w:color="A3A3A3" w:sz="4" w:space="0"/>
            </w:tcBorders>
            <w:tcMar>
              <w:top w:w="103" w:type="dxa"/>
              <w:left w:w="0" w:type="dxa"/>
              <w:bottom w:w="103" w:type="dxa"/>
              <w:right w:w="206" w:type="dxa"/>
            </w:tcMar>
            <w:vAlign w:val="center"/>
          </w:tcPr>
          <w:p w14:paraId="46145B4D">
            <w:pPr>
              <w:pStyle w:val="14"/>
            </w:pPr>
            <w:r>
              <w:t>Air Quality Check Frequency</w:t>
            </w:r>
          </w:p>
        </w:tc>
        <w:tc>
          <w:tcPr>
            <w:tcW w:w="0" w:type="auto"/>
            <w:tcBorders>
              <w:bottom w:val="single" w:color="A3A3A3" w:sz="4" w:space="0"/>
            </w:tcBorders>
            <w:tcMar>
              <w:top w:w="103" w:type="dxa"/>
              <w:left w:w="206" w:type="dxa"/>
              <w:bottom w:w="103" w:type="dxa"/>
              <w:right w:w="206" w:type="dxa"/>
            </w:tcMar>
            <w:vAlign w:val="center"/>
          </w:tcPr>
          <w:p w14:paraId="20D800F9">
            <w:pPr>
              <w:pStyle w:val="14"/>
            </w:pPr>
            <w:r>
              <w:t>0.7/user/week</w:t>
            </w:r>
          </w:p>
        </w:tc>
        <w:tc>
          <w:tcPr>
            <w:tcW w:w="0" w:type="auto"/>
            <w:tcBorders>
              <w:bottom w:val="single" w:color="A3A3A3" w:sz="4" w:space="0"/>
            </w:tcBorders>
            <w:tcMar>
              <w:top w:w="103" w:type="dxa"/>
              <w:left w:w="206" w:type="dxa"/>
              <w:bottom w:w="103" w:type="dxa"/>
              <w:right w:w="206" w:type="dxa"/>
            </w:tcMar>
            <w:vAlign w:val="center"/>
          </w:tcPr>
          <w:p w14:paraId="457D3B51">
            <w:pPr>
              <w:pStyle w:val="14"/>
            </w:pPr>
            <w:r>
              <w:t>2.1/user/week</w:t>
            </w:r>
          </w:p>
        </w:tc>
      </w:tr>
      <w:tr w14:paraId="34DF2481">
        <w:tblPrEx>
          <w:tblCellMar>
            <w:top w:w="15" w:type="dxa"/>
            <w:left w:w="15" w:type="dxa"/>
            <w:bottom w:w="15" w:type="dxa"/>
            <w:right w:w="15" w:type="dxa"/>
          </w:tblCellMar>
        </w:tblPrEx>
        <w:trPr>
          <w:jc w:val="center"/>
        </w:trPr>
        <w:tc>
          <w:tcPr>
            <w:tcW w:w="0" w:type="auto"/>
            <w:tcBorders>
              <w:bottom w:val="single" w:color="A3A3A3" w:sz="4" w:space="0"/>
            </w:tcBorders>
            <w:tcMar>
              <w:top w:w="103" w:type="dxa"/>
              <w:left w:w="0" w:type="dxa"/>
              <w:bottom w:w="103" w:type="dxa"/>
              <w:right w:w="206" w:type="dxa"/>
            </w:tcMar>
            <w:vAlign w:val="center"/>
          </w:tcPr>
          <w:p w14:paraId="1B3A850F">
            <w:pPr>
              <w:pStyle w:val="14"/>
            </w:pPr>
            <w:r>
              <w:t>Average Session Duration</w:t>
            </w:r>
          </w:p>
        </w:tc>
        <w:tc>
          <w:tcPr>
            <w:tcW w:w="0" w:type="auto"/>
            <w:tcBorders>
              <w:bottom w:val="single" w:color="A3A3A3" w:sz="4" w:space="0"/>
            </w:tcBorders>
            <w:tcMar>
              <w:top w:w="103" w:type="dxa"/>
              <w:left w:w="206" w:type="dxa"/>
              <w:bottom w:w="103" w:type="dxa"/>
              <w:right w:w="206" w:type="dxa"/>
            </w:tcMar>
            <w:vAlign w:val="center"/>
          </w:tcPr>
          <w:p w14:paraId="6BA3BC8B">
            <w:pPr>
              <w:pStyle w:val="14"/>
            </w:pPr>
            <w:r>
              <w:t>2.1 minutes</w:t>
            </w:r>
          </w:p>
        </w:tc>
        <w:tc>
          <w:tcPr>
            <w:tcW w:w="0" w:type="auto"/>
            <w:tcBorders>
              <w:bottom w:val="single" w:color="A3A3A3" w:sz="4" w:space="0"/>
            </w:tcBorders>
            <w:tcMar>
              <w:top w:w="103" w:type="dxa"/>
              <w:left w:w="206" w:type="dxa"/>
              <w:bottom w:w="103" w:type="dxa"/>
              <w:right w:w="206" w:type="dxa"/>
            </w:tcMar>
            <w:vAlign w:val="center"/>
          </w:tcPr>
          <w:p w14:paraId="3BE3E383">
            <w:pPr>
              <w:pStyle w:val="14"/>
            </w:pPr>
            <w:r>
              <w:t>3.8 minutes</w:t>
            </w:r>
          </w:p>
        </w:tc>
      </w:tr>
    </w:tbl>
    <w:p w14:paraId="5E8DF7E6">
      <w:pPr>
        <w:ind w:firstLine="480"/>
      </w:pPr>
    </w:p>
    <w:p w14:paraId="1D15F15A">
      <w:pPr>
        <w:ind w:firstLine="480"/>
      </w:pPr>
      <w:r>
        <w:t xml:space="preserve">5.2 Virtual Reality (VR) for Empathy Building    </w:t>
      </w:r>
    </w:p>
    <w:p w14:paraId="0432D47F">
      <w:pPr>
        <w:ind w:firstLine="480"/>
      </w:pPr>
      <w:r>
        <w:t>Beyond public education, VR is transforming industry practices. High-end restaurants like Noma employ Farm-to-Table VR training modules to educate staff on sustainable sourcing. Through virtual tours of regenerative farms, employees gain firsthand insight into crop rotation, soil health, and low-impact harvesting. This immersive training reduced ingredient waste by 22%, as staff adopted more precise portioning and storage techniques, demonstrated in Table 7. The program’s success highlights VR’s role in operationalizing sustainability across supply chains, proving that tactile virtual experiences can yield real-world resource efficiencies.</w:t>
      </w:r>
      <w:r>
        <w:rPr>
          <w:rFonts w:ascii="Segoe UI" w:hAnsi="Segoe UI" w:cs="Segoe UI"/>
          <w:color w:val="404040"/>
        </w:rPr>
        <w:t xml:space="preserve"> </w:t>
      </w:r>
      <w:r>
        <w:t>The synergy between VR’s immersive storytelling and quantifiable outcomes positions it as a cornerstone of modern sustainability pedagogy. </w:t>
      </w:r>
    </w:p>
    <w:p w14:paraId="3D2BAEBC">
      <w:pPr>
        <w:ind w:firstLine="480"/>
        <w:jc w:val="center"/>
      </w:pPr>
      <w:r>
        <w:rPr>
          <w:bCs/>
        </w:rPr>
        <w:t>Table 7: Food Waste Reduction Post-VR Training</w:t>
      </w:r>
    </w:p>
    <w:tbl>
      <w:tblPr>
        <w:tblStyle w:val="6"/>
        <w:tblW w:w="0" w:type="auto"/>
        <w:tblInd w:w="0" w:type="dxa"/>
        <w:tblLayout w:type="autofit"/>
        <w:tblCellMar>
          <w:top w:w="15" w:type="dxa"/>
          <w:left w:w="15" w:type="dxa"/>
          <w:bottom w:w="15" w:type="dxa"/>
          <w:right w:w="15" w:type="dxa"/>
        </w:tblCellMar>
      </w:tblPr>
      <w:tblGrid>
        <w:gridCol w:w="2825"/>
        <w:gridCol w:w="1630"/>
        <w:gridCol w:w="1724"/>
        <w:gridCol w:w="1399"/>
      </w:tblGrid>
      <w:tr w14:paraId="232B8311">
        <w:tblPrEx>
          <w:tblCellMar>
            <w:top w:w="15" w:type="dxa"/>
            <w:left w:w="15" w:type="dxa"/>
            <w:bottom w:w="15" w:type="dxa"/>
            <w:right w:w="15" w:type="dxa"/>
          </w:tblCellMar>
        </w:tblPrEx>
        <w:trPr>
          <w:tblHeader/>
        </w:trPr>
        <w:tc>
          <w:tcPr>
            <w:tcW w:w="0" w:type="auto"/>
            <w:tcBorders>
              <w:top w:val="single" w:color="A3A3A3" w:sz="4" w:space="0"/>
              <w:bottom w:val="single" w:color="A3A3A3" w:sz="4" w:space="0"/>
            </w:tcBorders>
            <w:tcMar>
              <w:top w:w="103" w:type="dxa"/>
              <w:left w:w="0" w:type="dxa"/>
              <w:bottom w:w="103" w:type="dxa"/>
              <w:right w:w="206" w:type="dxa"/>
            </w:tcMar>
            <w:vAlign w:val="center"/>
          </w:tcPr>
          <w:p w14:paraId="3A14B285">
            <w:pPr>
              <w:pStyle w:val="14"/>
            </w:pPr>
            <w:r>
              <w:t>Metric</w:t>
            </w:r>
          </w:p>
        </w:tc>
        <w:tc>
          <w:tcPr>
            <w:tcW w:w="0" w:type="auto"/>
            <w:tcBorders>
              <w:top w:val="single" w:color="A3A3A3" w:sz="4" w:space="0"/>
              <w:bottom w:val="single" w:color="A3A3A3" w:sz="4" w:space="0"/>
            </w:tcBorders>
            <w:tcMar>
              <w:top w:w="103" w:type="dxa"/>
              <w:left w:w="206" w:type="dxa"/>
              <w:bottom w:w="103" w:type="dxa"/>
              <w:right w:w="206" w:type="dxa"/>
            </w:tcMar>
            <w:vAlign w:val="center"/>
          </w:tcPr>
          <w:p w14:paraId="27005916">
            <w:pPr>
              <w:pStyle w:val="14"/>
            </w:pPr>
            <w:r>
              <w:t>Pre-Training</w:t>
            </w:r>
          </w:p>
        </w:tc>
        <w:tc>
          <w:tcPr>
            <w:tcW w:w="0" w:type="auto"/>
            <w:tcBorders>
              <w:top w:val="single" w:color="A3A3A3" w:sz="4" w:space="0"/>
              <w:bottom w:val="single" w:color="A3A3A3" w:sz="4" w:space="0"/>
            </w:tcBorders>
            <w:tcMar>
              <w:top w:w="103" w:type="dxa"/>
              <w:left w:w="206" w:type="dxa"/>
              <w:bottom w:w="103" w:type="dxa"/>
              <w:right w:w="206" w:type="dxa"/>
            </w:tcMar>
            <w:vAlign w:val="center"/>
          </w:tcPr>
          <w:p w14:paraId="7007DE9C">
            <w:pPr>
              <w:pStyle w:val="14"/>
            </w:pPr>
            <w:r>
              <w:t>Post-Training</w:t>
            </w:r>
          </w:p>
        </w:tc>
        <w:tc>
          <w:tcPr>
            <w:tcW w:w="0" w:type="auto"/>
            <w:tcBorders>
              <w:top w:val="single" w:color="A3A3A3" w:sz="4" w:space="0"/>
              <w:bottom w:val="single" w:color="A3A3A3" w:sz="4" w:space="0"/>
            </w:tcBorders>
            <w:tcMar>
              <w:top w:w="103" w:type="dxa"/>
              <w:left w:w="206" w:type="dxa"/>
              <w:bottom w:w="103" w:type="dxa"/>
              <w:right w:w="206" w:type="dxa"/>
            </w:tcMar>
            <w:vAlign w:val="center"/>
          </w:tcPr>
          <w:p w14:paraId="1F339352">
            <w:pPr>
              <w:pStyle w:val="14"/>
            </w:pPr>
            <w:r>
              <w:t>Reduction</w:t>
            </w:r>
          </w:p>
        </w:tc>
      </w:tr>
      <w:tr w14:paraId="41149B3C">
        <w:tblPrEx>
          <w:tblCellMar>
            <w:top w:w="15" w:type="dxa"/>
            <w:left w:w="15" w:type="dxa"/>
            <w:bottom w:w="15" w:type="dxa"/>
            <w:right w:w="15" w:type="dxa"/>
          </w:tblCellMar>
        </w:tblPrEx>
        <w:tc>
          <w:tcPr>
            <w:tcW w:w="0" w:type="auto"/>
            <w:tcBorders>
              <w:bottom w:val="single" w:color="A3A3A3" w:sz="4" w:space="0"/>
            </w:tcBorders>
            <w:tcMar>
              <w:top w:w="103" w:type="dxa"/>
              <w:left w:w="0" w:type="dxa"/>
              <w:bottom w:w="103" w:type="dxa"/>
              <w:right w:w="206" w:type="dxa"/>
            </w:tcMar>
            <w:vAlign w:val="center"/>
          </w:tcPr>
          <w:p w14:paraId="15259C1A">
            <w:pPr>
              <w:pStyle w:val="14"/>
            </w:pPr>
            <w:r>
              <w:t>Weekly Waste (kg)</w:t>
            </w:r>
          </w:p>
        </w:tc>
        <w:tc>
          <w:tcPr>
            <w:tcW w:w="0" w:type="auto"/>
            <w:tcBorders>
              <w:bottom w:val="single" w:color="A3A3A3" w:sz="4" w:space="0"/>
            </w:tcBorders>
            <w:tcMar>
              <w:top w:w="103" w:type="dxa"/>
              <w:left w:w="206" w:type="dxa"/>
              <w:bottom w:w="103" w:type="dxa"/>
              <w:right w:w="206" w:type="dxa"/>
            </w:tcMar>
            <w:vAlign w:val="center"/>
          </w:tcPr>
          <w:p w14:paraId="74183C3F">
            <w:pPr>
              <w:pStyle w:val="14"/>
            </w:pPr>
            <w:r>
              <w:t>120</w:t>
            </w:r>
          </w:p>
        </w:tc>
        <w:tc>
          <w:tcPr>
            <w:tcW w:w="0" w:type="auto"/>
            <w:tcBorders>
              <w:bottom w:val="single" w:color="A3A3A3" w:sz="4" w:space="0"/>
            </w:tcBorders>
            <w:tcMar>
              <w:top w:w="103" w:type="dxa"/>
              <w:left w:w="206" w:type="dxa"/>
              <w:bottom w:w="103" w:type="dxa"/>
              <w:right w:w="206" w:type="dxa"/>
            </w:tcMar>
            <w:vAlign w:val="center"/>
          </w:tcPr>
          <w:p w14:paraId="5BD540CC">
            <w:pPr>
              <w:pStyle w:val="14"/>
            </w:pPr>
            <w:r>
              <w:t>94</w:t>
            </w:r>
          </w:p>
        </w:tc>
        <w:tc>
          <w:tcPr>
            <w:tcW w:w="0" w:type="auto"/>
            <w:tcBorders>
              <w:bottom w:val="single" w:color="A3A3A3" w:sz="4" w:space="0"/>
            </w:tcBorders>
            <w:tcMar>
              <w:top w:w="103" w:type="dxa"/>
              <w:left w:w="206" w:type="dxa"/>
              <w:bottom w:w="103" w:type="dxa"/>
              <w:right w:w="206" w:type="dxa"/>
            </w:tcMar>
            <w:vAlign w:val="center"/>
          </w:tcPr>
          <w:p w14:paraId="59957D31">
            <w:pPr>
              <w:pStyle w:val="14"/>
            </w:pPr>
            <w:r>
              <w:t>22%</w:t>
            </w:r>
          </w:p>
        </w:tc>
      </w:tr>
      <w:tr w14:paraId="3AC7EF00">
        <w:tblPrEx>
          <w:tblCellMar>
            <w:top w:w="15" w:type="dxa"/>
            <w:left w:w="15" w:type="dxa"/>
            <w:bottom w:w="15" w:type="dxa"/>
            <w:right w:w="15" w:type="dxa"/>
          </w:tblCellMar>
        </w:tblPrEx>
        <w:tc>
          <w:tcPr>
            <w:tcW w:w="0" w:type="auto"/>
            <w:tcBorders>
              <w:bottom w:val="single" w:color="A3A3A3" w:sz="4" w:space="0"/>
            </w:tcBorders>
            <w:tcMar>
              <w:top w:w="103" w:type="dxa"/>
              <w:left w:w="0" w:type="dxa"/>
              <w:bottom w:w="103" w:type="dxa"/>
              <w:right w:w="206" w:type="dxa"/>
            </w:tcMar>
            <w:vAlign w:val="center"/>
          </w:tcPr>
          <w:p w14:paraId="2FCA6DBD">
            <w:pPr>
              <w:pStyle w:val="14"/>
            </w:pPr>
            <w:r>
              <w:t>Carbon Emissions (kgCO₂)</w:t>
            </w:r>
          </w:p>
        </w:tc>
        <w:tc>
          <w:tcPr>
            <w:tcW w:w="0" w:type="auto"/>
            <w:tcBorders>
              <w:bottom w:val="single" w:color="A3A3A3" w:sz="4" w:space="0"/>
            </w:tcBorders>
            <w:tcMar>
              <w:top w:w="103" w:type="dxa"/>
              <w:left w:w="206" w:type="dxa"/>
              <w:bottom w:w="103" w:type="dxa"/>
              <w:right w:w="206" w:type="dxa"/>
            </w:tcMar>
            <w:vAlign w:val="center"/>
          </w:tcPr>
          <w:p w14:paraId="7033BE73">
            <w:pPr>
              <w:pStyle w:val="14"/>
            </w:pPr>
            <w:r>
              <w:t>85</w:t>
            </w:r>
          </w:p>
        </w:tc>
        <w:tc>
          <w:tcPr>
            <w:tcW w:w="0" w:type="auto"/>
            <w:tcBorders>
              <w:bottom w:val="single" w:color="A3A3A3" w:sz="4" w:space="0"/>
            </w:tcBorders>
            <w:tcMar>
              <w:top w:w="103" w:type="dxa"/>
              <w:left w:w="206" w:type="dxa"/>
              <w:bottom w:w="103" w:type="dxa"/>
              <w:right w:w="206" w:type="dxa"/>
            </w:tcMar>
            <w:vAlign w:val="center"/>
          </w:tcPr>
          <w:p w14:paraId="2469B4BB">
            <w:pPr>
              <w:pStyle w:val="14"/>
            </w:pPr>
            <w:r>
              <w:t>66</w:t>
            </w:r>
          </w:p>
        </w:tc>
        <w:tc>
          <w:tcPr>
            <w:tcW w:w="0" w:type="auto"/>
            <w:tcBorders>
              <w:bottom w:val="single" w:color="A3A3A3" w:sz="4" w:space="0"/>
            </w:tcBorders>
            <w:tcMar>
              <w:top w:w="103" w:type="dxa"/>
              <w:left w:w="206" w:type="dxa"/>
              <w:bottom w:w="103" w:type="dxa"/>
              <w:right w:w="206" w:type="dxa"/>
            </w:tcMar>
            <w:vAlign w:val="center"/>
          </w:tcPr>
          <w:p w14:paraId="5F8817FE">
            <w:pPr>
              <w:pStyle w:val="14"/>
            </w:pPr>
            <w:r>
              <w:t>22%</w:t>
            </w:r>
          </w:p>
        </w:tc>
      </w:tr>
    </w:tbl>
    <w:p w14:paraId="4DBFC1BC">
      <w:pPr>
        <w:ind w:firstLine="480"/>
      </w:pPr>
    </w:p>
    <w:p w14:paraId="2CBF7EE6">
      <w:pPr>
        <w:ind w:firstLine="480"/>
      </w:pPr>
    </w:p>
    <w:p w14:paraId="0426D61D">
      <w:pPr>
        <w:ind w:firstLine="480"/>
      </w:pPr>
      <w:r>
        <w:t xml:space="preserve">5.3 Collaborative Ecosystems for Scalable Impact    </w:t>
      </w:r>
    </w:p>
    <w:p w14:paraId="24FCDE88">
      <w:pPr>
        <w:ind w:firstLine="480"/>
      </w:pPr>
      <w:r>
        <w:t>The complexity of global environmental challenges demands collaborative frameworks that transcend traditional industry boundaries. A prime example is the </w:t>
      </w:r>
      <w:r>
        <w:rPr>
          <w:bCs/>
        </w:rPr>
        <w:t>Green Design Alliance</w:t>
      </w:r>
      <w:r>
        <w:t>, a coalition of over 200 designers, engineers, and policymakers dedicated to democratizing sustainable packaging solutions. By developing open-source blueprints for compostable materials, the alliance has enabled small businesses to reduce packaging costs by </w:t>
      </w:r>
      <w:r>
        <w:rPr>
          <w:bCs/>
        </w:rPr>
        <w:t>50%</w:t>
      </w:r>
      <w:r>
        <w:t> while boosting customer loyalty by </w:t>
      </w:r>
      <w:r>
        <w:rPr>
          <w:bCs/>
        </w:rPr>
        <w:t>35%</w:t>
      </w:r>
      <w:r>
        <w:t>, as demonstrated in </w:t>
      </w:r>
      <w:r>
        <w:rPr>
          <w:bCs/>
        </w:rPr>
        <w:t>Table 8</w:t>
      </w:r>
      <w:r>
        <w:t> (Wandosell et al., 2021). These blueprints prioritize locally sourced biomaterials—such as mushroom mycelium and agricultural waste—tailored to regional manufacturing capabilities. The economic and ecological benefits of this model underscore how shared knowledge platforms can dismantle barriers to sustainable innovation, particularly for resource-constrained enterprises.</w:t>
      </w:r>
    </w:p>
    <w:p w14:paraId="49498DC5">
      <w:pPr>
        <w:ind w:firstLine="480"/>
      </w:pPr>
      <w:r>
        <w:rPr>
          <w:bCs/>
        </w:rPr>
        <w:t>Table 8: Impact of Open-Source Compostable Packaging</w:t>
      </w:r>
    </w:p>
    <w:tbl>
      <w:tblPr>
        <w:tblStyle w:val="6"/>
        <w:tblW w:w="0" w:type="auto"/>
        <w:jc w:val="center"/>
        <w:tblLayout w:type="autofit"/>
        <w:tblCellMar>
          <w:top w:w="15" w:type="dxa"/>
          <w:left w:w="15" w:type="dxa"/>
          <w:bottom w:w="15" w:type="dxa"/>
          <w:right w:w="15" w:type="dxa"/>
        </w:tblCellMar>
      </w:tblPr>
      <w:tblGrid>
        <w:gridCol w:w="2913"/>
        <w:gridCol w:w="2839"/>
        <w:gridCol w:w="1705"/>
      </w:tblGrid>
      <w:tr w14:paraId="3A1AEEFA">
        <w:tblPrEx>
          <w:tblCellMar>
            <w:top w:w="15" w:type="dxa"/>
            <w:left w:w="15" w:type="dxa"/>
            <w:bottom w:w="15" w:type="dxa"/>
            <w:right w:w="15" w:type="dxa"/>
          </w:tblCellMar>
        </w:tblPrEx>
        <w:trPr>
          <w:tblHeader/>
          <w:jc w:val="center"/>
        </w:trPr>
        <w:tc>
          <w:tcPr>
            <w:tcW w:w="0" w:type="auto"/>
            <w:tcBorders>
              <w:top w:val="single" w:color="A3A3A3" w:sz="4" w:space="0"/>
              <w:bottom w:val="single" w:color="A3A3A3" w:sz="4" w:space="0"/>
            </w:tcBorders>
            <w:tcMar>
              <w:top w:w="103" w:type="dxa"/>
              <w:left w:w="0" w:type="dxa"/>
              <w:bottom w:w="103" w:type="dxa"/>
              <w:right w:w="206" w:type="dxa"/>
            </w:tcMar>
            <w:vAlign w:val="center"/>
          </w:tcPr>
          <w:p w14:paraId="04E5B367">
            <w:pPr>
              <w:ind w:firstLine="0" w:firstLineChars="0"/>
              <w:rPr>
                <w:bCs/>
              </w:rPr>
            </w:pPr>
            <w:r>
              <w:rPr>
                <w:bCs/>
              </w:rPr>
              <w:t>Metric</w:t>
            </w:r>
          </w:p>
        </w:tc>
        <w:tc>
          <w:tcPr>
            <w:tcW w:w="0" w:type="auto"/>
            <w:tcBorders>
              <w:top w:val="single" w:color="A3A3A3" w:sz="4" w:space="0"/>
              <w:bottom w:val="single" w:color="A3A3A3" w:sz="4" w:space="0"/>
            </w:tcBorders>
            <w:tcMar>
              <w:top w:w="103" w:type="dxa"/>
              <w:left w:w="206" w:type="dxa"/>
              <w:bottom w:w="103" w:type="dxa"/>
              <w:right w:w="206" w:type="dxa"/>
            </w:tcMar>
            <w:vAlign w:val="center"/>
          </w:tcPr>
          <w:p w14:paraId="4A025FFD">
            <w:pPr>
              <w:ind w:firstLine="0" w:firstLineChars="0"/>
              <w:rPr>
                <w:bCs/>
              </w:rPr>
            </w:pPr>
            <w:r>
              <w:rPr>
                <w:bCs/>
              </w:rPr>
              <w:t>Small Business Adoption</w:t>
            </w:r>
          </w:p>
        </w:tc>
        <w:tc>
          <w:tcPr>
            <w:tcW w:w="0" w:type="auto"/>
            <w:tcBorders>
              <w:top w:val="single" w:color="A3A3A3" w:sz="4" w:space="0"/>
              <w:bottom w:val="single" w:color="A3A3A3" w:sz="4" w:space="0"/>
            </w:tcBorders>
            <w:tcMar>
              <w:top w:w="103" w:type="dxa"/>
              <w:left w:w="206" w:type="dxa"/>
              <w:bottom w:w="103" w:type="dxa"/>
              <w:right w:w="206" w:type="dxa"/>
            </w:tcMar>
            <w:vAlign w:val="center"/>
          </w:tcPr>
          <w:p w14:paraId="647C0FBE">
            <w:pPr>
              <w:ind w:firstLine="0" w:firstLineChars="0"/>
              <w:rPr>
                <w:bCs/>
              </w:rPr>
            </w:pPr>
            <w:r>
              <w:rPr>
                <w:bCs/>
              </w:rPr>
              <w:t>Improvement</w:t>
            </w:r>
          </w:p>
        </w:tc>
      </w:tr>
      <w:tr w14:paraId="13751CA5">
        <w:tblPrEx>
          <w:tblCellMar>
            <w:top w:w="15" w:type="dxa"/>
            <w:left w:w="15" w:type="dxa"/>
            <w:bottom w:w="15" w:type="dxa"/>
            <w:right w:w="15" w:type="dxa"/>
          </w:tblCellMar>
        </w:tblPrEx>
        <w:trPr>
          <w:jc w:val="center"/>
        </w:trPr>
        <w:tc>
          <w:tcPr>
            <w:tcW w:w="0" w:type="auto"/>
            <w:tcBorders>
              <w:bottom w:val="single" w:color="A3A3A3" w:sz="4" w:space="0"/>
            </w:tcBorders>
            <w:tcMar>
              <w:top w:w="103" w:type="dxa"/>
              <w:left w:w="0" w:type="dxa"/>
              <w:bottom w:w="103" w:type="dxa"/>
              <w:right w:w="206" w:type="dxa"/>
            </w:tcMar>
            <w:vAlign w:val="center"/>
          </w:tcPr>
          <w:p w14:paraId="3AACC1F4">
            <w:pPr>
              <w:ind w:firstLine="0" w:firstLineChars="0"/>
            </w:pPr>
            <w:r>
              <w:t>Packaging Cost Reduction</w:t>
            </w:r>
          </w:p>
        </w:tc>
        <w:tc>
          <w:tcPr>
            <w:tcW w:w="0" w:type="auto"/>
            <w:tcBorders>
              <w:bottom w:val="single" w:color="A3A3A3" w:sz="4" w:space="0"/>
            </w:tcBorders>
            <w:tcMar>
              <w:top w:w="103" w:type="dxa"/>
              <w:left w:w="206" w:type="dxa"/>
              <w:bottom w:w="103" w:type="dxa"/>
              <w:right w:w="206" w:type="dxa"/>
            </w:tcMar>
            <w:vAlign w:val="center"/>
          </w:tcPr>
          <w:p w14:paraId="31F29109">
            <w:pPr>
              <w:ind w:firstLine="0" w:firstLineChars="0"/>
            </w:pPr>
            <w:r>
              <w:t>85% of adopters</w:t>
            </w:r>
          </w:p>
        </w:tc>
        <w:tc>
          <w:tcPr>
            <w:tcW w:w="0" w:type="auto"/>
            <w:tcBorders>
              <w:bottom w:val="single" w:color="A3A3A3" w:sz="4" w:space="0"/>
            </w:tcBorders>
            <w:tcMar>
              <w:top w:w="103" w:type="dxa"/>
              <w:left w:w="206" w:type="dxa"/>
              <w:bottom w:w="103" w:type="dxa"/>
              <w:right w:w="206" w:type="dxa"/>
            </w:tcMar>
            <w:vAlign w:val="center"/>
          </w:tcPr>
          <w:p w14:paraId="212C4CA8">
            <w:pPr>
              <w:ind w:firstLine="0" w:firstLineChars="0"/>
            </w:pPr>
            <w:r>
              <w:t>50%</w:t>
            </w:r>
          </w:p>
        </w:tc>
      </w:tr>
      <w:tr w14:paraId="40ABA571">
        <w:tblPrEx>
          <w:tblCellMar>
            <w:top w:w="15" w:type="dxa"/>
            <w:left w:w="15" w:type="dxa"/>
            <w:bottom w:w="15" w:type="dxa"/>
            <w:right w:w="15" w:type="dxa"/>
          </w:tblCellMar>
        </w:tblPrEx>
        <w:trPr>
          <w:jc w:val="center"/>
        </w:trPr>
        <w:tc>
          <w:tcPr>
            <w:tcW w:w="0" w:type="auto"/>
            <w:tcBorders>
              <w:bottom w:val="single" w:color="A3A3A3" w:sz="4" w:space="0"/>
            </w:tcBorders>
            <w:tcMar>
              <w:top w:w="103" w:type="dxa"/>
              <w:left w:w="0" w:type="dxa"/>
              <w:bottom w:w="103" w:type="dxa"/>
              <w:right w:w="206" w:type="dxa"/>
            </w:tcMar>
            <w:vAlign w:val="center"/>
          </w:tcPr>
          <w:p w14:paraId="7E240CA6">
            <w:pPr>
              <w:ind w:firstLine="0" w:firstLineChars="0"/>
            </w:pPr>
            <w:r>
              <w:t>Customer Loyalty Increase</w:t>
            </w:r>
          </w:p>
        </w:tc>
        <w:tc>
          <w:tcPr>
            <w:tcW w:w="0" w:type="auto"/>
            <w:tcBorders>
              <w:bottom w:val="single" w:color="A3A3A3" w:sz="4" w:space="0"/>
            </w:tcBorders>
            <w:tcMar>
              <w:top w:w="103" w:type="dxa"/>
              <w:left w:w="206" w:type="dxa"/>
              <w:bottom w:w="103" w:type="dxa"/>
              <w:right w:w="206" w:type="dxa"/>
            </w:tcMar>
            <w:vAlign w:val="center"/>
          </w:tcPr>
          <w:p w14:paraId="3EEF08D6">
            <w:pPr>
              <w:ind w:firstLine="0" w:firstLineChars="0"/>
            </w:pPr>
            <w:r>
              <w:t>72% of adopters</w:t>
            </w:r>
          </w:p>
        </w:tc>
        <w:tc>
          <w:tcPr>
            <w:tcW w:w="0" w:type="auto"/>
            <w:tcBorders>
              <w:bottom w:val="single" w:color="A3A3A3" w:sz="4" w:space="0"/>
            </w:tcBorders>
            <w:tcMar>
              <w:top w:w="103" w:type="dxa"/>
              <w:left w:w="206" w:type="dxa"/>
              <w:bottom w:w="103" w:type="dxa"/>
              <w:right w:w="206" w:type="dxa"/>
            </w:tcMar>
            <w:vAlign w:val="center"/>
          </w:tcPr>
          <w:p w14:paraId="7F26FB2A">
            <w:pPr>
              <w:ind w:firstLine="0" w:firstLineChars="0"/>
            </w:pPr>
            <w:r>
              <w:t>35%</w:t>
            </w:r>
          </w:p>
        </w:tc>
      </w:tr>
      <w:tr w14:paraId="7F868040">
        <w:tblPrEx>
          <w:tblCellMar>
            <w:top w:w="15" w:type="dxa"/>
            <w:left w:w="15" w:type="dxa"/>
            <w:bottom w:w="15" w:type="dxa"/>
            <w:right w:w="15" w:type="dxa"/>
          </w:tblCellMar>
        </w:tblPrEx>
        <w:trPr>
          <w:jc w:val="center"/>
        </w:trPr>
        <w:tc>
          <w:tcPr>
            <w:tcW w:w="0" w:type="auto"/>
            <w:tcBorders>
              <w:bottom w:val="single" w:color="A3A3A3" w:sz="4" w:space="0"/>
            </w:tcBorders>
            <w:tcMar>
              <w:top w:w="103" w:type="dxa"/>
              <w:left w:w="0" w:type="dxa"/>
              <w:bottom w:w="103" w:type="dxa"/>
              <w:right w:w="206" w:type="dxa"/>
            </w:tcMar>
            <w:vAlign w:val="center"/>
          </w:tcPr>
          <w:p w14:paraId="153B1D37">
            <w:pPr>
              <w:ind w:firstLine="0" w:firstLineChars="0"/>
            </w:pPr>
            <w:r>
              <w:t>Carbon Footprint Reduction</w:t>
            </w:r>
          </w:p>
        </w:tc>
        <w:tc>
          <w:tcPr>
            <w:tcW w:w="0" w:type="auto"/>
            <w:tcBorders>
              <w:bottom w:val="single" w:color="A3A3A3" w:sz="4" w:space="0"/>
            </w:tcBorders>
            <w:tcMar>
              <w:top w:w="103" w:type="dxa"/>
              <w:left w:w="206" w:type="dxa"/>
              <w:bottom w:w="103" w:type="dxa"/>
              <w:right w:w="206" w:type="dxa"/>
            </w:tcMar>
            <w:vAlign w:val="center"/>
          </w:tcPr>
          <w:p w14:paraId="6ECE36DA">
            <w:pPr>
              <w:ind w:firstLine="0" w:firstLineChars="0"/>
            </w:pPr>
            <w:r>
              <w:t>100% of adopters</w:t>
            </w:r>
          </w:p>
        </w:tc>
        <w:tc>
          <w:tcPr>
            <w:tcW w:w="0" w:type="auto"/>
            <w:tcBorders>
              <w:bottom w:val="single" w:color="A3A3A3" w:sz="4" w:space="0"/>
            </w:tcBorders>
            <w:tcMar>
              <w:top w:w="103" w:type="dxa"/>
              <w:left w:w="206" w:type="dxa"/>
              <w:bottom w:w="103" w:type="dxa"/>
              <w:right w:w="206" w:type="dxa"/>
            </w:tcMar>
            <w:vAlign w:val="center"/>
          </w:tcPr>
          <w:p w14:paraId="38784BF2">
            <w:pPr>
              <w:ind w:firstLine="0" w:firstLineChars="0"/>
            </w:pPr>
            <w:r>
              <w:t>28%</w:t>
            </w:r>
          </w:p>
        </w:tc>
      </w:tr>
    </w:tbl>
    <w:p w14:paraId="038732DF">
      <w:pPr>
        <w:ind w:firstLine="480"/>
      </w:pPr>
    </w:p>
    <w:p w14:paraId="0A371CBD">
      <w:pPr>
        <w:ind w:firstLine="480"/>
      </w:pPr>
    </w:p>
    <w:p w14:paraId="37BC7F2A">
      <w:pPr>
        <w:ind w:firstLine="480"/>
      </w:pPr>
    </w:p>
    <w:p w14:paraId="741803E2">
      <w:pPr>
        <w:pStyle w:val="2"/>
        <w:ind w:firstLine="480"/>
        <w:rPr>
          <w:b w:val="0"/>
        </w:rPr>
      </w:pPr>
      <w:r>
        <w:rPr>
          <w:b w:val="0"/>
        </w:rPr>
        <w:t xml:space="preserve">6. DISCUSSION    </w:t>
      </w:r>
    </w:p>
    <w:p w14:paraId="4466FB44">
      <w:pPr>
        <w:ind w:firstLine="480"/>
      </w:pPr>
      <w:r>
        <w:t xml:space="preserve">6.1 Balancing Creativity and Constraints    </w:t>
      </w:r>
    </w:p>
    <w:p w14:paraId="7FC0665F">
      <w:pPr>
        <w:ind w:firstLine="480"/>
      </w:pPr>
      <w:r>
        <w:t>The perceived tension between aesthetic innovation and ethical responsibility in sustainable design often stems from outdated assumptions that prioritize form over function or vice versa. Yet pioneering initiatives like Notpla’s seaweed-based packaging challenge this dichotomy, proving that ecological integrity can coexist with visual appeal. Breakthroughs in biomimicry, for instance, enable designers to emulate natural structures—such as mycelium’s fibrous networks or lotus leaves’ self-cleaning surfaces—to create materials that are both functionally superior and aesthetically resonant. Simultaneously, brands are increasingly embedding sustainability narratives into their identities through subtle storytelling. Patagonia’s “Worn Wear” campaign, which celebrates repaired garments as badges of environmental commitment, exemplifies how user-centric narratives can reframe consumption as an act of preservation rather than exploitation. By aligning material innovation with emotive storytelling, designers transcend traditional trade-offs, demonstrating that constraints can catalyze creativity rather than stifle it.</w:t>
      </w:r>
    </w:p>
    <w:p w14:paraId="5DB0CE34">
      <w:pPr>
        <w:ind w:firstLine="480"/>
      </w:pPr>
      <w:r>
        <w:t xml:space="preserve">6.2 Overcoming Greenwashing    </w:t>
      </w:r>
    </w:p>
    <w:p w14:paraId="1B442E04">
      <w:pPr>
        <w:ind w:firstLine="480"/>
      </w:pPr>
      <w:r>
        <w:t>As public skepticism toward superficial sustainability claims intensifies, transparency has emerged as a non-negotiable pillar of ethical design. Consumers now demand verifiable proof of environmental and social accountability, driving brands to adopt technologies like blockchain for end-to-end supply chain visibility. Everlane’s “Radical Transparency” initiative, which provides real-time data on factory conditions and material origins, boosted consumer trust by 60% while reducing greenwashing allegations. Similarly, certifications such as Cradle-to-Cradle and B Corp act as third-party validators, offering standardized metrics to distinguish genuine sustainability efforts from marketing ploys. This shift toward radical openness not only safeguards brand credibility but also empowers consumers to make informed choices, fostering a market where authenticity becomes a competitive advantage.</w:t>
      </w:r>
    </w:p>
    <w:p w14:paraId="2DA6EB3A">
      <w:pPr>
        <w:ind w:firstLine="480"/>
      </w:pPr>
      <w:r>
        <w:t xml:space="preserve">6.3 Future Directions    </w:t>
      </w:r>
    </w:p>
    <w:p w14:paraId="3353A50D">
      <w:pPr>
        <w:ind w:firstLine="480"/>
      </w:pPr>
      <w:r>
        <w:t>The next frontier of sustainable design lies in harnessing emerging technologies to preempt environmental harm at the earliest stages of creation. AI-driven lifecycle analysis tools, for example, allow designers to simulate a product’s ecological footprint during conceptualization, enabling real-time adjustments to materials or manufacturing methods. Concurrently, haptic feedback systems integrated into wearables could revolutionize consumer behavior by providing tactile cues—such as vibrations when approaching overpackaged goods—that nudge users toward conscious choices. These innovations signal a paradigm shift from reactive mitigation to proactive design, where sustainability is embedded into every decision rather than treated as an afterthought. As such tools mature, they promise to democratize sustainable practices, equipping both global corporations and independent creators with the means to align their work with planetary boundaries.</w:t>
      </w:r>
    </w:p>
    <w:p w14:paraId="46C88A3C">
      <w:pPr>
        <w:ind w:firstLine="480"/>
      </w:pPr>
    </w:p>
    <w:p w14:paraId="558F8998">
      <w:pPr>
        <w:pStyle w:val="2"/>
        <w:ind w:firstLine="480"/>
        <w:rPr>
          <w:b w:val="0"/>
        </w:rPr>
      </w:pPr>
      <w:r>
        <w:rPr>
          <w:b w:val="0"/>
        </w:rPr>
        <w:t xml:space="preserve">7. CONCLUSION </w:t>
      </w:r>
    </w:p>
    <w:p w14:paraId="046D66C2">
      <w:pPr>
        <w:ind w:firstLine="480"/>
      </w:pPr>
      <w:r>
        <w:t xml:space="preserve">The evolution of visual communication design into a force for environmental stewardship marks a pivotal shift in creative industries. By embracing material innovation, behavioral insights, and collaborative frameworks, designers can craft solutions that are both beautiful and benevolent. The path forward demands courage to challenge conventions, rigor to measure impacts, and empathy to connect with global audiences. As this paper illustrates, every color choice, material selection, and interactive experience holds the power to shape a sustainable future—one where design doesn’t just reflect the world but actively heals it.  </w:t>
      </w:r>
    </w:p>
    <w:p w14:paraId="49D1C389">
      <w:pPr>
        <w:ind w:firstLine="480"/>
      </w:pPr>
    </w:p>
    <w:p w14:paraId="7E0E094D">
      <w:pPr>
        <w:ind w:firstLine="480"/>
      </w:pPr>
    </w:p>
    <w:p w14:paraId="1FC9325B">
      <w:pPr>
        <w:ind w:firstLine="480"/>
      </w:pPr>
    </w:p>
    <w:p w14:paraId="6DE0C820">
      <w:pPr>
        <w:pStyle w:val="2"/>
        <w:ind w:firstLine="480"/>
        <w:rPr>
          <w:b w:val="0"/>
        </w:rPr>
      </w:pPr>
      <w:r>
        <w:rPr>
          <w:b w:val="0"/>
        </w:rPr>
        <w:t xml:space="preserve">References </w:t>
      </w:r>
    </w:p>
    <w:p w14:paraId="186536EA">
      <w:pPr>
        <w:ind w:firstLine="480"/>
      </w:pPr>
      <w:r>
        <w:t>[1]Singh P K, Chirade S, Taluja R, et al. Eco-conscious creation: Navigating the nexus of sustainability and production design[C]//E3S Web of Conferences. EDP Sciences, 2023, 453: 01034.</w:t>
      </w:r>
    </w:p>
    <w:p w14:paraId="6D8480A3">
      <w:pPr>
        <w:ind w:firstLine="480"/>
      </w:pPr>
      <w:r>
        <w:t>[2]Magtira A M A G. Impactful fusion: the synergy behind emotional design and circular economy for eco-conscious product design[D]. Waikato Institute of Technology, 2024.</w:t>
      </w:r>
    </w:p>
    <w:p w14:paraId="5BEFD596">
      <w:pPr>
        <w:ind w:firstLine="480"/>
      </w:pPr>
      <w:r>
        <w:t>[3]Khizerulla M, Lavanya G. " Unpacking Sustainability: Exploring Consumer Attitudes towards Recycled Packaging and the Impact of Branding, Marketing Strategies, and Visual Design on Eco-Friendly Perceptions[J]. 2024.</w:t>
      </w:r>
    </w:p>
    <w:p w14:paraId="2C3816B9">
      <w:pPr>
        <w:ind w:firstLine="480"/>
      </w:pPr>
      <w:r>
        <w:t>[4]Tan E M M, Michael V A, Hassan M H, et al. Visual Communication in Sustainability Action: Public understanding through human behavior and attitude[J]. Environment-Behaviour Proceedings Journal, 2023, 8(SI16): 165-170.</w:t>
      </w:r>
    </w:p>
    <w:p w14:paraId="6C16664E">
      <w:pPr>
        <w:ind w:firstLine="480"/>
      </w:pPr>
      <w:r>
        <w:t>[5]Anjimoon S, Singla A, Khan I, et al. A review: Eco-Conscious Design: Incorporating Biodegradable Materials in Modern Product Development[C]//E3S Web of Conferences. EDP Sciences, 2024, 505: 03003.</w:t>
      </w:r>
    </w:p>
    <w:p w14:paraId="7DBAD5B1">
      <w:pPr>
        <w:ind w:firstLine="480"/>
      </w:pPr>
      <w:r>
        <w:t>[6]Donato C. Eco-Label Visual Design and Sustainability: The Impact on Consumer Perceptions and Market Trends[J]. 2025.</w:t>
      </w:r>
    </w:p>
    <w:p w14:paraId="0EE10343">
      <w:pPr>
        <w:ind w:firstLine="480"/>
      </w:pPr>
      <w:r>
        <w:t>[7]Worakittikul W, Saenwerm C, Naruetharadhol P. Unlocking the secrets of green semiotics: The revolutionary power of eco-symbols in transforming consumer perceptions and catalyzing behavioral shifts in emerging markets[J]. Plos one, 2024, 19(9): e0310963.</w:t>
      </w:r>
    </w:p>
    <w:p w14:paraId="377842DD">
      <w:pPr>
        <w:ind w:firstLine="480"/>
      </w:pPr>
      <w:r>
        <w:t>[8]Melis A, Vavetsi R, Finotti F. Graphic Narratives for Social Transformation: Weaving Stories Into the Built Environment[M]//The Architecture of Exhibitions. Routledge, 2024: 31-48.</w:t>
      </w:r>
    </w:p>
    <w:p w14:paraId="0DAA6629">
      <w:pPr>
        <w:ind w:firstLine="480"/>
      </w:pPr>
      <w:r>
        <w:t>[9]Tung T M, Lan D H. Cultivating conservation connections: A look at virtual influencers in promoting environmental awareness on social media[J]. 2024.</w:t>
      </w:r>
    </w:p>
    <w:p w14:paraId="57633742">
      <w:pPr>
        <w:ind w:firstLine="480"/>
      </w:pPr>
      <w:r>
        <w:t>[10]Wadhwani A, Khaneja S. Coherence with Nature: Exploring Sustainability with Art Installations[J]. “Innovation in Visual Arts”(ICIVA’23), 2023.</w:t>
      </w:r>
    </w:p>
    <w:p w14:paraId="4AFEFB0D">
      <w:pPr>
        <w:ind w:firstLine="480"/>
      </w:pPr>
      <w:r>
        <w:t>[11]Li J, Gao M. Art Design of Non-Heritage Cultural and Creative Products Based on the Concept of Sustainability[J]. International Journal of Information System Modeling and Design (IJISMD), 2024, 15(1): 1-14.</w:t>
      </w:r>
    </w:p>
    <w:p w14:paraId="2FA27C16">
      <w:pPr>
        <w:ind w:firstLine="480"/>
      </w:pPr>
      <w:r>
        <w:t>[12]Melis A, Vavetsi R, Finotti F. 4 Graphic Narratives for Social Transformation[J]. The Architecture of Exhibitions: Experiential Design, 2024.</w:t>
      </w:r>
    </w:p>
    <w:p w14:paraId="440FE058">
      <w:pPr>
        <w:ind w:firstLine="480"/>
      </w:pPr>
      <w:r>
        <w:t>[13]Christensen A C. Harmonizing Art and Ecology: An Analysis of Sustainability Practices in the Visual Arts Industry[J]. 2023.</w:t>
      </w:r>
    </w:p>
    <w:p w14:paraId="05934266">
      <w:pPr>
        <w:ind w:firstLine="480"/>
      </w:pPr>
      <w:r>
        <w:t>[14]Petrounakos S, Varbanova L. Training Curriculum on Empathy and Sustainability Pathways for Arts[J]. 2024.</w:t>
      </w:r>
    </w:p>
    <w:p w14:paraId="5A0664FF">
      <w:pPr>
        <w:ind w:firstLine="480"/>
      </w:pPr>
    </w:p>
    <w:p w14:paraId="41979BE5">
      <w:pPr>
        <w:ind w:firstLine="480"/>
      </w:pPr>
    </w:p>
    <w:p w14:paraId="3912470A">
      <w:pPr>
        <w:ind w:firstLine="480"/>
      </w:pPr>
    </w:p>
    <w:p w14:paraId="4450B16F">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72308">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94105">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38EE2">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75EB2">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6F3B5">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F5818">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880"/>
    <w:rsid w:val="00000E77"/>
    <w:rsid w:val="00074EB6"/>
    <w:rsid w:val="000D6CBC"/>
    <w:rsid w:val="001D39BC"/>
    <w:rsid w:val="00234755"/>
    <w:rsid w:val="00292252"/>
    <w:rsid w:val="002B4D69"/>
    <w:rsid w:val="003B6CE2"/>
    <w:rsid w:val="004B04EE"/>
    <w:rsid w:val="004F4625"/>
    <w:rsid w:val="005821CB"/>
    <w:rsid w:val="00597CFE"/>
    <w:rsid w:val="00626880"/>
    <w:rsid w:val="00655CE8"/>
    <w:rsid w:val="007001BC"/>
    <w:rsid w:val="007E0D0A"/>
    <w:rsid w:val="00804A10"/>
    <w:rsid w:val="00806821"/>
    <w:rsid w:val="0086677B"/>
    <w:rsid w:val="00A57CA4"/>
    <w:rsid w:val="00AC78C9"/>
    <w:rsid w:val="00CE7623"/>
    <w:rsid w:val="00DE6A28"/>
    <w:rsid w:val="00E6214C"/>
    <w:rsid w:val="00E76162"/>
    <w:rsid w:val="00EF7502"/>
    <w:rsid w:val="00F52E38"/>
    <w:rsid w:val="00F60BB6"/>
    <w:rsid w:val="00F66C89"/>
    <w:rsid w:val="00F823D9"/>
    <w:rsid w:val="00F82EBF"/>
    <w:rsid w:val="00FA1E27"/>
    <w:rsid w:val="00FC19C9"/>
    <w:rsid w:val="00FC43E8"/>
    <w:rsid w:val="5E516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12"/>
    <w:qFormat/>
    <w:uiPriority w:val="9"/>
    <w:pPr>
      <w:keepNext/>
      <w:keepLines/>
      <w:outlineLvl w:val="0"/>
    </w:pPr>
    <w:rPr>
      <w:b/>
      <w:bCs/>
      <w:kern w:val="44"/>
      <w:szCs w:val="44"/>
    </w:rPr>
  </w:style>
  <w:style w:type="paragraph" w:styleId="3">
    <w:name w:val="heading 2"/>
    <w:basedOn w:val="1"/>
    <w:next w:val="1"/>
    <w:link w:val="13"/>
    <w:unhideWhenUsed/>
    <w:qFormat/>
    <w:uiPriority w:val="9"/>
    <w:pPr>
      <w:keepNext/>
      <w:keepLines/>
      <w:outlineLvl w:val="1"/>
    </w:pPr>
    <w:rPr>
      <w:rFonts w:eastAsia="Times New Roman" w:cstheme="majorBidi"/>
      <w:bCs/>
      <w:szCs w:val="32"/>
    </w:rPr>
  </w:style>
  <w:style w:type="character" w:default="1" w:styleId="8">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标题 1 字符"/>
    <w:basedOn w:val="8"/>
    <w:link w:val="2"/>
    <w:qFormat/>
    <w:uiPriority w:val="9"/>
    <w:rPr>
      <w:rFonts w:ascii="Times New Roman" w:hAnsi="Times New Roman" w:eastAsia="宋体"/>
      <w:b/>
      <w:bCs/>
      <w:kern w:val="44"/>
      <w:sz w:val="24"/>
      <w:szCs w:val="44"/>
    </w:rPr>
  </w:style>
  <w:style w:type="character" w:customStyle="1" w:styleId="13">
    <w:name w:val="标题 2 字符"/>
    <w:basedOn w:val="8"/>
    <w:link w:val="3"/>
    <w:qFormat/>
    <w:uiPriority w:val="9"/>
    <w:rPr>
      <w:rFonts w:ascii="Times New Roman" w:hAnsi="Times New Roman" w:eastAsia="Times New Roman" w:cstheme="majorBidi"/>
      <w:bCs/>
      <w:sz w:val="24"/>
      <w:szCs w:val="32"/>
    </w:rPr>
  </w:style>
  <w:style w:type="paragraph" w:styleId="14">
    <w:name w:val="No Spacing"/>
    <w:qFormat/>
    <w:uiPriority w:val="1"/>
    <w:pPr>
      <w:widowControl w:val="0"/>
      <w:jc w:val="center"/>
    </w:pPr>
    <w:rPr>
      <w:rFonts w:ascii="Times New Roman" w:hAnsi="Times New Roman" w:eastAsia="宋体"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5506</Words>
  <Characters>35414</Characters>
  <Lines>296</Lines>
  <Paragraphs>83</Paragraphs>
  <TotalTime>130</TotalTime>
  <ScaleCrop>false</ScaleCrop>
  <LinksUpToDate>false</LinksUpToDate>
  <CharactersWithSpaces>40844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2025-04-14T14:29:00Z</dcterms:created>
  <dc:creator>user</dc:creator>
  <cp:lastModifiedBy>Matthew</cp:lastModifiedBy>
  <dcterms:modified xsi:type="dcterms:W3CDTF">2025-05-07T09:16:38Z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eyJoZGlkIjoiZjUxNTZjMDgwZDEyYzQ1MDhlZWIxZGY4MDI2OWU3MjIiLCJ1c2VySWQiOiI0MzY1MDU5MzkifQ==</vt:lpwstr>
  </property>
  <property fmtid="{D5CDD505-2E9C-101B-9397-08002B2CF9AE}" pid="3" name="KSOProductBuildVer">
    <vt:lpwstr>2052-12.1.0.20784</vt:lpwstr>
  </property>
  <property fmtid="{D5CDD505-2E9C-101B-9397-08002B2CF9AE}" pid="4" name="ICV">
    <vt:lpwstr>D5100A1A1EED455C86CF3748652F4191_12</vt:lpwstr>
  </property>
</Properties>
</file>